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03EA32">
      <w:pPr>
        <w:keepNext w:val="0"/>
        <w:keepLines w:val="0"/>
        <w:pageBreakBefore w:val="0"/>
        <w:widowControl w:val="0"/>
        <w:kinsoku/>
        <w:wordWrap/>
        <w:overflowPunct/>
        <w:topLinePunct w:val="0"/>
        <w:autoSpaceDE w:val="0"/>
        <w:autoSpaceDN w:val="0"/>
        <w:bidi w:val="0"/>
        <w:adjustRightInd/>
        <w:snapToGrid/>
        <w:spacing w:line="579" w:lineRule="exact"/>
        <w:jc w:val="center"/>
        <w:textAlignment w:val="auto"/>
        <w:outlineLvl w:val="0"/>
        <w:rPr>
          <w:rFonts w:hint="eastAsia" w:ascii="方正大标宋简体" w:hAnsi="方正大标宋简体" w:eastAsia="方正大标宋简体" w:cs="方正大标宋简体"/>
          <w:sz w:val="44"/>
          <w:szCs w:val="44"/>
          <w:highlight w:val="none"/>
          <w:lang w:val="en-US" w:eastAsia="zh-CN"/>
        </w:rPr>
      </w:pPr>
      <w:r>
        <w:rPr>
          <w:rFonts w:hint="eastAsia" w:ascii="方正大标宋简体" w:hAnsi="方正大标宋简体" w:eastAsia="方正大标宋简体" w:cs="方正大标宋简体"/>
          <w:sz w:val="44"/>
          <w:szCs w:val="44"/>
          <w:highlight w:val="none"/>
          <w:lang w:val="en-US" w:eastAsia="zh-CN"/>
        </w:rPr>
        <w:t>2025年新洲社区暖“蜂”驿站器材采购项目</w:t>
      </w:r>
    </w:p>
    <w:p w14:paraId="2B8C3A6B">
      <w:pPr>
        <w:keepNext w:val="0"/>
        <w:keepLines w:val="0"/>
        <w:pageBreakBefore w:val="0"/>
        <w:widowControl w:val="0"/>
        <w:kinsoku/>
        <w:wordWrap/>
        <w:overflowPunct/>
        <w:topLinePunct w:val="0"/>
        <w:autoSpaceDE w:val="0"/>
        <w:autoSpaceDN w:val="0"/>
        <w:bidi w:val="0"/>
        <w:adjustRightInd/>
        <w:snapToGrid/>
        <w:spacing w:line="579" w:lineRule="exact"/>
        <w:jc w:val="center"/>
        <w:textAlignment w:val="auto"/>
        <w:outlineLvl w:val="0"/>
        <w:rPr>
          <w:rFonts w:hint="eastAsia" w:ascii="方正大标宋简体" w:hAnsi="方正大标宋简体" w:eastAsia="方正大标宋简体" w:cs="方正大标宋简体"/>
          <w:sz w:val="44"/>
          <w:szCs w:val="44"/>
          <w:highlight w:val="none"/>
        </w:rPr>
      </w:pPr>
      <w:r>
        <w:rPr>
          <w:rFonts w:hint="eastAsia" w:ascii="方正大标宋简体" w:hAnsi="方正大标宋简体" w:eastAsia="方正大标宋简体" w:cs="方正大标宋简体"/>
          <w:sz w:val="44"/>
          <w:szCs w:val="44"/>
          <w:highlight w:val="none"/>
        </w:rPr>
        <w:t>采购需求</w:t>
      </w:r>
    </w:p>
    <w:p w14:paraId="5094B5D1">
      <w:pPr>
        <w:pStyle w:val="9"/>
        <w:keepNext w:val="0"/>
        <w:keepLines w:val="0"/>
        <w:pageBreakBefore w:val="0"/>
        <w:kinsoku/>
        <w:overflowPunct/>
        <w:topLinePunct w:val="0"/>
        <w:bidi w:val="0"/>
        <w:adjustRightInd/>
        <w:snapToGrid/>
        <w:spacing w:line="579" w:lineRule="exact"/>
        <w:ind w:firstLine="674"/>
        <w:rPr>
          <w:rFonts w:hint="eastAsia" w:ascii="黑体" w:hAnsi="黑体" w:eastAsia="黑体" w:cs="黑体"/>
          <w:szCs w:val="32"/>
          <w:highlight w:val="none"/>
        </w:rPr>
      </w:pPr>
    </w:p>
    <w:p w14:paraId="535250E1">
      <w:pPr>
        <w:pStyle w:val="9"/>
        <w:keepNext w:val="0"/>
        <w:keepLines w:val="0"/>
        <w:pageBreakBefore w:val="0"/>
        <w:kinsoku/>
        <w:overflowPunct/>
        <w:topLinePunct w:val="0"/>
        <w:bidi w:val="0"/>
        <w:adjustRightInd/>
        <w:snapToGrid/>
        <w:spacing w:line="579" w:lineRule="exact"/>
        <w:ind w:firstLine="674"/>
        <w:outlineLvl w:val="1"/>
        <w:rPr>
          <w:rFonts w:hint="eastAsia" w:ascii="黑体" w:hAnsi="黑体" w:eastAsia="黑体" w:cs="黑体"/>
          <w:szCs w:val="32"/>
          <w:highlight w:val="none"/>
        </w:rPr>
      </w:pPr>
      <w:r>
        <w:rPr>
          <w:rFonts w:hint="eastAsia" w:ascii="黑体" w:hAnsi="黑体" w:eastAsia="黑体" w:cs="黑体"/>
          <w:szCs w:val="32"/>
          <w:highlight w:val="none"/>
        </w:rPr>
        <w:t>一、货物清单</w:t>
      </w:r>
    </w:p>
    <w:tbl>
      <w:tblPr>
        <w:tblStyle w:val="10"/>
        <w:tblW w:w="891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1"/>
        <w:gridCol w:w="1080"/>
        <w:gridCol w:w="2715"/>
        <w:gridCol w:w="885"/>
        <w:gridCol w:w="840"/>
        <w:gridCol w:w="1245"/>
        <w:gridCol w:w="1485"/>
      </w:tblGrid>
      <w:tr w14:paraId="493B6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5"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2595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D1F1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cs="宋体"/>
                <w:b/>
                <w:bCs/>
                <w:i w:val="0"/>
                <w:iCs w:val="0"/>
                <w:color w:val="000000"/>
                <w:kern w:val="0"/>
                <w:sz w:val="20"/>
                <w:szCs w:val="20"/>
                <w:u w:val="none"/>
                <w:lang w:val="en-US" w:eastAsia="zh-CN" w:bidi="ar"/>
              </w:rPr>
              <w:t>货物</w:t>
            </w:r>
            <w:r>
              <w:rPr>
                <w:rFonts w:hint="eastAsia" w:ascii="宋体" w:hAnsi="宋体" w:eastAsia="宋体" w:cs="宋体"/>
                <w:b/>
                <w:bCs/>
                <w:i w:val="0"/>
                <w:iCs w:val="0"/>
                <w:color w:val="000000"/>
                <w:kern w:val="0"/>
                <w:sz w:val="20"/>
                <w:szCs w:val="20"/>
                <w:u w:val="none"/>
                <w:lang w:val="en-US" w:eastAsia="zh-CN" w:bidi="ar"/>
              </w:rPr>
              <w:t>名称</w:t>
            </w:r>
          </w:p>
        </w:tc>
        <w:tc>
          <w:tcPr>
            <w:tcW w:w="2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A707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cs="宋体"/>
                <w:b/>
                <w:bCs/>
                <w:i w:val="0"/>
                <w:iCs w:val="0"/>
                <w:color w:val="000000"/>
                <w:kern w:val="0"/>
                <w:sz w:val="20"/>
                <w:szCs w:val="20"/>
                <w:u w:val="none"/>
                <w:lang w:val="en-US" w:eastAsia="zh-CN" w:bidi="ar"/>
              </w:rPr>
              <w:t>货物</w:t>
            </w:r>
            <w:r>
              <w:rPr>
                <w:rFonts w:hint="eastAsia" w:ascii="宋体" w:hAnsi="宋体" w:eastAsia="宋体" w:cs="宋体"/>
                <w:b/>
                <w:bCs/>
                <w:i w:val="0"/>
                <w:iCs w:val="0"/>
                <w:color w:val="000000"/>
                <w:kern w:val="0"/>
                <w:sz w:val="20"/>
                <w:szCs w:val="20"/>
                <w:u w:val="none"/>
                <w:lang w:val="en-US" w:eastAsia="zh-CN" w:bidi="ar"/>
              </w:rPr>
              <w:t>描述</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64FF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3B16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ACB2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 </w:t>
            </w:r>
            <w:r>
              <w:rPr>
                <w:rFonts w:hint="eastAsia" w:ascii="宋体" w:hAnsi="宋体" w:cs="宋体"/>
                <w:b/>
                <w:bCs/>
                <w:i w:val="0"/>
                <w:iCs w:val="0"/>
                <w:color w:val="000000"/>
                <w:kern w:val="0"/>
                <w:sz w:val="20"/>
                <w:szCs w:val="20"/>
                <w:u w:val="none"/>
                <w:lang w:val="en-US" w:eastAsia="zh-CN" w:bidi="ar"/>
              </w:rPr>
              <w:t>预算</w:t>
            </w:r>
            <w:r>
              <w:rPr>
                <w:rFonts w:hint="eastAsia" w:ascii="宋体" w:hAnsi="宋体" w:eastAsia="宋体" w:cs="宋体"/>
                <w:b/>
                <w:bCs/>
                <w:i w:val="0"/>
                <w:iCs w:val="0"/>
                <w:color w:val="000000"/>
                <w:kern w:val="0"/>
                <w:sz w:val="20"/>
                <w:szCs w:val="20"/>
                <w:u w:val="none"/>
                <w:lang w:val="en-US" w:eastAsia="zh-CN" w:bidi="ar"/>
              </w:rPr>
              <w:t xml:space="preserve">单价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DFC8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cs="宋体"/>
                <w:b/>
                <w:bCs/>
                <w:i w:val="0"/>
                <w:iCs w:val="0"/>
                <w:color w:val="000000"/>
                <w:kern w:val="0"/>
                <w:sz w:val="20"/>
                <w:szCs w:val="20"/>
                <w:u w:val="none"/>
                <w:lang w:val="en-US" w:eastAsia="zh-CN" w:bidi="ar"/>
              </w:rPr>
              <w:t>预算</w:t>
            </w:r>
            <w:r>
              <w:rPr>
                <w:rFonts w:hint="eastAsia" w:ascii="宋体" w:hAnsi="宋体" w:eastAsia="宋体" w:cs="宋体"/>
                <w:b/>
                <w:bCs/>
                <w:i w:val="0"/>
                <w:iCs w:val="0"/>
                <w:color w:val="000000"/>
                <w:kern w:val="0"/>
                <w:sz w:val="20"/>
                <w:szCs w:val="20"/>
                <w:u w:val="none"/>
                <w:lang w:val="en-US" w:eastAsia="zh-CN" w:bidi="ar"/>
              </w:rPr>
              <w:t>金额</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（元）</w:t>
            </w:r>
          </w:p>
        </w:tc>
      </w:tr>
      <w:tr w14:paraId="2AF5D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6C2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109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背景墙</w:t>
            </w:r>
          </w:p>
        </w:tc>
        <w:tc>
          <w:tcPr>
            <w:tcW w:w="2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ABE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镀锌管结构焊接＋不锈钢烤漆架（1200X200cm）</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383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C62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027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40,000.00 </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6BC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40,000.00 </w:t>
            </w:r>
          </w:p>
        </w:tc>
      </w:tr>
      <w:tr w14:paraId="38B42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9B2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8CB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雨棚</w:t>
            </w:r>
          </w:p>
        </w:tc>
        <w:tc>
          <w:tcPr>
            <w:tcW w:w="2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874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镀锌钢烤漆结构＋阳光板（800X200cm）</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3E0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93E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188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20,000.00 </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7FD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20,000.00 </w:t>
            </w:r>
          </w:p>
        </w:tc>
      </w:tr>
      <w:tr w14:paraId="19FE6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3"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E23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458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休息桌椅+柜子</w:t>
            </w:r>
          </w:p>
        </w:tc>
        <w:tc>
          <w:tcPr>
            <w:tcW w:w="2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71A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定制造型休息椅+柜子，不锈钢结构表面烤漆＋防腐木（休息桌椅:300X60X80cm（高）、柜子：120X180cm）</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E34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3B5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B44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3500 </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695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7,000.00 </w:t>
            </w:r>
          </w:p>
        </w:tc>
      </w:tr>
      <w:tr w14:paraId="0453F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8"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28D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70B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AED除颤仪</w:t>
            </w:r>
          </w:p>
        </w:tc>
        <w:tc>
          <w:tcPr>
            <w:tcW w:w="2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1A9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AED除颤仪除颤仪便携式</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82A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39F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99D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15,000.00 </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969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15,000.00 </w:t>
            </w:r>
          </w:p>
        </w:tc>
      </w:tr>
      <w:tr w14:paraId="110D3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3"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85B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B45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应急药箱</w:t>
            </w:r>
          </w:p>
        </w:tc>
        <w:tc>
          <w:tcPr>
            <w:tcW w:w="2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83C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铝合金收纳药箱和套装配套（爱备护 急救包 16英寸国标应急储备铝合金急救箱便携手提医疗箱）</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4BB0A">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93F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362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350.00 </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363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700.00 </w:t>
            </w:r>
          </w:p>
        </w:tc>
      </w:tr>
      <w:tr w14:paraId="717D7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5"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A79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130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雨具（雨衣+雨伞）</w:t>
            </w:r>
          </w:p>
        </w:tc>
        <w:tc>
          <w:tcPr>
            <w:tcW w:w="2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921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雨具套装（雨航、碳纤维雨伞，全胶复合针织布雨衣）</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7E2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B42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2E2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50.00 </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7CB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500.00 </w:t>
            </w:r>
          </w:p>
        </w:tc>
      </w:tr>
      <w:tr w14:paraId="06F77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8"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EC5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428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微波炉</w:t>
            </w:r>
          </w:p>
        </w:tc>
        <w:tc>
          <w:tcPr>
            <w:tcW w:w="2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141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旋转操控快捷微波炉</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5F3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8CB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081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550 </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2D8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1,100.00 </w:t>
            </w:r>
          </w:p>
        </w:tc>
      </w:tr>
      <w:tr w14:paraId="4FB3B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5"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827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C94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饮水机</w:t>
            </w:r>
          </w:p>
        </w:tc>
        <w:tc>
          <w:tcPr>
            <w:tcW w:w="2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54D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温热型快速加热下置水桶饮水机</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7B0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4E0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361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800.00 </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380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1,</w:t>
            </w:r>
            <w:r>
              <w:rPr>
                <w:rFonts w:hint="eastAsia" w:ascii="宋体" w:hAnsi="宋体" w:cs="宋体"/>
                <w:i w:val="0"/>
                <w:iCs w:val="0"/>
                <w:color w:val="000000"/>
                <w:kern w:val="0"/>
                <w:sz w:val="20"/>
                <w:szCs w:val="20"/>
                <w:u w:val="none"/>
                <w:lang w:val="en-US" w:eastAsia="zh-CN" w:bidi="ar"/>
              </w:rPr>
              <w:t>8</w:t>
            </w:r>
            <w:bookmarkStart w:id="19" w:name="_GoBack"/>
            <w:bookmarkEnd w:id="19"/>
            <w:r>
              <w:rPr>
                <w:rFonts w:hint="eastAsia" w:ascii="宋体" w:hAnsi="宋体" w:eastAsia="宋体" w:cs="宋体"/>
                <w:i w:val="0"/>
                <w:iCs w:val="0"/>
                <w:color w:val="000000"/>
                <w:kern w:val="0"/>
                <w:sz w:val="20"/>
                <w:szCs w:val="20"/>
                <w:u w:val="none"/>
                <w:lang w:val="en-US" w:eastAsia="zh-CN" w:bidi="ar"/>
              </w:rPr>
              <w:t xml:space="preserve">00.00 </w:t>
            </w:r>
          </w:p>
        </w:tc>
      </w:tr>
      <w:tr w14:paraId="4BEE9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3"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2D6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517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冰箱</w:t>
            </w:r>
          </w:p>
        </w:tc>
        <w:tc>
          <w:tcPr>
            <w:tcW w:w="2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B12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小型双开门风冷无霜冰箱</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3E5E5">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6B2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A08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1800</w:t>
            </w:r>
            <w:r>
              <w:rPr>
                <w:rFonts w:hint="eastAsia" w:ascii="宋体" w:hAnsi="宋体" w:eastAsia="宋体" w:cs="宋体"/>
                <w:i w:val="0"/>
                <w:iCs w:val="0"/>
                <w:color w:val="000000"/>
                <w:kern w:val="0"/>
                <w:sz w:val="20"/>
                <w:szCs w:val="20"/>
                <w:u w:val="none"/>
                <w:lang w:val="en-US" w:eastAsia="zh-CN" w:bidi="ar"/>
              </w:rPr>
              <w:t xml:space="preserve">.00 </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DB4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1,800.00 </w:t>
            </w:r>
          </w:p>
        </w:tc>
      </w:tr>
      <w:tr w14:paraId="4CA8C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5"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10A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B57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应急维修工具箱</w:t>
            </w:r>
          </w:p>
        </w:tc>
        <w:tc>
          <w:tcPr>
            <w:tcW w:w="2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649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应急维修工具箱套装（42件套12V双速电钻）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3BA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A64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BC0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500.00 </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459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1,000.00 </w:t>
            </w:r>
          </w:p>
        </w:tc>
      </w:tr>
      <w:tr w14:paraId="176E8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5"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E53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E7C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LED灯带</w:t>
            </w:r>
          </w:p>
        </w:tc>
        <w:tc>
          <w:tcPr>
            <w:tcW w:w="2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CB3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户外防水安全LED灯带超亮硅胶灯带220v户外防水）</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ACB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1CA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3A7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500.00 </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34A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500.00 </w:t>
            </w:r>
          </w:p>
        </w:tc>
      </w:tr>
      <w:tr w14:paraId="0C219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5B9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487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防倾倒支架</w:t>
            </w:r>
          </w:p>
        </w:tc>
        <w:tc>
          <w:tcPr>
            <w:tcW w:w="2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C7E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不锈钢烤漆防倾倒支架（200X180cm）</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11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A6A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EC4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1,500.00 </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319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1,500.00 </w:t>
            </w:r>
          </w:p>
        </w:tc>
      </w:tr>
      <w:tr w14:paraId="35B57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5"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4FA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0FC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标识制作</w:t>
            </w:r>
          </w:p>
        </w:tc>
        <w:tc>
          <w:tcPr>
            <w:tcW w:w="2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4F9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PCV雕刻形状UV印制＋立体标语制作标识（1250X160cm）</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491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5F3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EB0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24,000.00 </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C4A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24,000.00 </w:t>
            </w:r>
          </w:p>
        </w:tc>
      </w:tr>
      <w:tr w14:paraId="0D423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6"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93F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C71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宣传栏</w:t>
            </w:r>
          </w:p>
        </w:tc>
        <w:tc>
          <w:tcPr>
            <w:tcW w:w="2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8BF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不锈钢烤漆＋防雨玻璃钢化翻盖式宣传栏（360X260cm）</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586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BBC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AEA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11,232.00</w:t>
            </w:r>
            <w:r>
              <w:rPr>
                <w:rFonts w:hint="eastAsia" w:ascii="宋体" w:hAnsi="宋体" w:eastAsia="宋体" w:cs="宋体"/>
                <w:i w:val="0"/>
                <w:iCs w:val="0"/>
                <w:color w:val="000000"/>
                <w:kern w:val="0"/>
                <w:sz w:val="20"/>
                <w:szCs w:val="20"/>
                <w:u w:val="none"/>
                <w:lang w:val="en-US" w:eastAsia="zh-CN" w:bidi="ar"/>
              </w:rPr>
              <w:t xml:space="preserve"> </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4AD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11,232.00 </w:t>
            </w:r>
          </w:p>
        </w:tc>
      </w:tr>
      <w:tr w14:paraId="1DB23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E59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D4E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安全施工吊装</w:t>
            </w:r>
          </w:p>
        </w:tc>
        <w:tc>
          <w:tcPr>
            <w:tcW w:w="2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D44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吊车配套安全施工</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B2A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74F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5CF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5,000.00 </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527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5,000.00 </w:t>
            </w:r>
          </w:p>
        </w:tc>
      </w:tr>
      <w:tr w14:paraId="78094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5"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25E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AEB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路面开挖施工与配套安装</w:t>
            </w:r>
          </w:p>
        </w:tc>
        <w:tc>
          <w:tcPr>
            <w:tcW w:w="2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C74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施工与安装人工</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8C2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8BD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970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5,000.00 </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5C4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5,000.00 </w:t>
            </w:r>
          </w:p>
        </w:tc>
      </w:tr>
      <w:tr w14:paraId="5A8B6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39B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D43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运输费</w:t>
            </w:r>
          </w:p>
        </w:tc>
        <w:tc>
          <w:tcPr>
            <w:tcW w:w="2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396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货物与材料配套运输</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8CA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178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16C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3,000.00 </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85F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3,000.00 </w:t>
            </w:r>
          </w:p>
        </w:tc>
      </w:tr>
      <w:tr w14:paraId="69BBB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74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34D02A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合计</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2DFC0">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138,932.00 </w:t>
            </w:r>
          </w:p>
        </w:tc>
      </w:tr>
    </w:tbl>
    <w:p w14:paraId="6A9D8B94">
      <w:pPr>
        <w:pStyle w:val="9"/>
        <w:keepNext w:val="0"/>
        <w:keepLines w:val="0"/>
        <w:pageBreakBefore w:val="0"/>
        <w:kinsoku/>
        <w:overflowPunct/>
        <w:topLinePunct w:val="0"/>
        <w:bidi w:val="0"/>
        <w:adjustRightInd/>
        <w:snapToGrid/>
        <w:spacing w:line="579" w:lineRule="exact"/>
        <w:ind w:left="0" w:leftChars="0" w:firstLine="640" w:firstLineChars="200"/>
        <w:outlineLvl w:val="1"/>
        <w:rPr>
          <w:rFonts w:hint="eastAsia" w:ascii="黑体" w:hAnsi="黑体" w:eastAsia="黑体" w:cs="黑体"/>
          <w:szCs w:val="32"/>
          <w:highlight w:val="none"/>
        </w:rPr>
      </w:pPr>
      <w:r>
        <w:rPr>
          <w:rFonts w:hint="eastAsia" w:ascii="黑体" w:hAnsi="黑体" w:eastAsia="黑体" w:cs="黑体"/>
          <w:szCs w:val="32"/>
          <w:highlight w:val="none"/>
          <w:lang w:eastAsia="zh-CN"/>
        </w:rPr>
        <w:t>二</w:t>
      </w:r>
      <w:r>
        <w:rPr>
          <w:rFonts w:hint="eastAsia" w:ascii="黑体" w:hAnsi="黑体" w:eastAsia="黑体" w:cs="黑体"/>
          <w:szCs w:val="32"/>
          <w:highlight w:val="none"/>
        </w:rPr>
        <w:t>、商务需求</w:t>
      </w:r>
    </w:p>
    <w:p w14:paraId="7675BC9B">
      <w:pPr>
        <w:ind w:firstLine="640" w:firstLineChars="200"/>
        <w:rPr>
          <w:rFonts w:hint="eastAsia" w:ascii="仿宋_GB2312" w:hAnsi="仿宋_GB2312" w:eastAsia="仿宋_GB2312" w:cs="仿宋_GB2312"/>
          <w:sz w:val="32"/>
          <w:szCs w:val="32"/>
          <w:highlight w:val="none"/>
        </w:rPr>
      </w:pPr>
      <w:r>
        <w:rPr>
          <w:rFonts w:hint="eastAsia" w:ascii="楷体_GB2312" w:hAnsi="楷体_GB2312" w:eastAsia="楷体_GB2312" w:cs="楷体_GB2312"/>
          <w:sz w:val="32"/>
          <w:szCs w:val="32"/>
        </w:rPr>
        <w:t>（一）交货/完</w:t>
      </w:r>
      <w:r>
        <w:rPr>
          <w:rFonts w:hint="eastAsia" w:ascii="楷体_GB2312" w:hAnsi="楷体_GB2312" w:eastAsia="楷体_GB2312" w:cs="楷体_GB2312"/>
          <w:sz w:val="32"/>
          <w:szCs w:val="32"/>
          <w:highlight w:val="none"/>
        </w:rPr>
        <w:t>工期：</w:t>
      </w:r>
      <w:r>
        <w:rPr>
          <w:rFonts w:hint="eastAsia" w:ascii="仿宋_GB2312" w:hAnsi="仿宋_GB2312" w:eastAsia="仿宋_GB2312" w:cs="仿宋_GB2312"/>
          <w:sz w:val="32"/>
          <w:szCs w:val="32"/>
          <w:highlight w:val="none"/>
        </w:rPr>
        <w:t>合同签定后</w:t>
      </w:r>
      <w:r>
        <w:rPr>
          <w:rFonts w:hint="eastAsia" w:ascii="仿宋_GB2312" w:hAnsi="仿宋_GB2312" w:eastAsia="仿宋_GB2312" w:cs="仿宋_GB2312"/>
          <w:sz w:val="32"/>
          <w:szCs w:val="32"/>
          <w:highlight w:val="none"/>
          <w:lang w:val="en-US" w:eastAsia="zh-CN"/>
        </w:rPr>
        <w:t>60</w:t>
      </w:r>
      <w:r>
        <w:rPr>
          <w:rFonts w:hint="eastAsia" w:ascii="仿宋_GB2312" w:hAnsi="仿宋_GB2312" w:eastAsia="仿宋_GB2312" w:cs="仿宋_GB2312"/>
          <w:sz w:val="32"/>
          <w:szCs w:val="32"/>
          <w:highlight w:val="none"/>
        </w:rPr>
        <w:t>天内。交货期是指所有货物运抵现场安装调试完毕后交付用户验收的日期。</w:t>
      </w:r>
    </w:p>
    <w:p w14:paraId="4665DF27">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highlight w:val="none"/>
        </w:rPr>
        <w:t>交货地点：</w:t>
      </w:r>
      <w:r>
        <w:rPr>
          <w:rFonts w:hint="eastAsia" w:ascii="仿宋_GB2312" w:hAnsi="仿宋_GB2312" w:eastAsia="仿宋_GB2312" w:cs="仿宋_GB2312"/>
          <w:sz w:val="32"/>
          <w:szCs w:val="32"/>
          <w:highlight w:val="none"/>
          <w:lang w:eastAsia="zh-CN"/>
        </w:rPr>
        <w:t>新洲社区党群服务中心</w:t>
      </w:r>
      <w:r>
        <w:rPr>
          <w:rFonts w:hint="eastAsia" w:ascii="仿宋_GB2312" w:hAnsi="仿宋_GB2312" w:eastAsia="仿宋_GB2312" w:cs="仿宋_GB2312"/>
          <w:sz w:val="32"/>
          <w:szCs w:val="32"/>
        </w:rPr>
        <w:t>。</w:t>
      </w:r>
    </w:p>
    <w:p w14:paraId="6C64ADE3">
      <w:pPr>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（二）报价要求</w:t>
      </w:r>
    </w:p>
    <w:p w14:paraId="033CAC7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1.本项目预算金额：</w:t>
      </w:r>
      <w:r>
        <w:rPr>
          <w:rFonts w:hint="eastAsia" w:ascii="仿宋_GB2312" w:hAnsi="仿宋_GB2312" w:eastAsia="仿宋_GB2312" w:cs="仿宋_GB2312"/>
          <w:sz w:val="32"/>
          <w:szCs w:val="32"/>
          <w:highlight w:val="none"/>
        </w:rPr>
        <w:t>人民币138932元，响应报价超过项目预算金额的视为无效</w:t>
      </w:r>
      <w:r>
        <w:rPr>
          <w:rFonts w:hint="eastAsia" w:ascii="仿宋_GB2312" w:hAnsi="仿宋_GB2312" w:eastAsia="仿宋_GB2312" w:cs="仿宋_GB2312"/>
          <w:sz w:val="32"/>
          <w:szCs w:val="32"/>
          <w:highlight w:val="none"/>
          <w:lang w:val="en-US" w:eastAsia="zh-CN"/>
        </w:rPr>
        <w:t>响</w:t>
      </w:r>
      <w:r>
        <w:rPr>
          <w:rFonts w:hint="eastAsia" w:ascii="仿宋_GB2312" w:hAnsi="仿宋_GB2312" w:eastAsia="仿宋_GB2312" w:cs="仿宋_GB2312"/>
          <w:sz w:val="32"/>
          <w:szCs w:val="32"/>
          <w:lang w:val="en-US" w:eastAsia="zh-CN"/>
        </w:rPr>
        <w:t>应</w:t>
      </w:r>
      <w:r>
        <w:rPr>
          <w:rFonts w:hint="eastAsia" w:ascii="仿宋_GB2312" w:hAnsi="仿宋_GB2312" w:eastAsia="仿宋_GB2312" w:cs="仿宋_GB2312"/>
          <w:sz w:val="32"/>
          <w:szCs w:val="32"/>
        </w:rPr>
        <w:t>。</w:t>
      </w:r>
    </w:p>
    <w:p w14:paraId="75FC35F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2.响应总价必须是完成该项目的一切费用总和，包括设备费、运输费、装卸费、保险费、技术培训费、设备安装费、调试费、售后服务费、国家规定的各项税费等。</w:t>
      </w:r>
    </w:p>
    <w:p w14:paraId="4AA18565">
      <w:pPr>
        <w:pStyle w:val="9"/>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（三</w:t>
      </w:r>
      <w:r>
        <w:rPr>
          <w:rFonts w:hint="eastAsia" w:ascii="楷体_GB2312" w:hAnsi="楷体_GB2312" w:eastAsia="楷体_GB2312" w:cs="楷体_GB2312"/>
          <w:sz w:val="32"/>
          <w:szCs w:val="32"/>
          <w:highlight w:val="none"/>
        </w:rPr>
        <w:t>）付款方式：</w:t>
      </w:r>
      <w:r>
        <w:rPr>
          <w:rFonts w:hint="eastAsia" w:ascii="仿宋_GB2312" w:hAnsi="仿宋_GB2312" w:eastAsia="仿宋_GB2312" w:cs="仿宋_GB2312"/>
          <w:szCs w:val="32"/>
          <w:lang w:val="en-US" w:eastAsia="zh-CN"/>
        </w:rPr>
        <w:t>货物送达并完成安装后，经采购人验收合格</w:t>
      </w:r>
      <w:r>
        <w:rPr>
          <w:rFonts w:hint="eastAsia" w:hAnsi="仿宋_GB2312" w:eastAsia="仿宋_GB2312" w:cs="仿宋_GB2312"/>
          <w:szCs w:val="32"/>
          <w:lang w:val="en-US" w:eastAsia="zh-CN"/>
        </w:rPr>
        <w:t>，</w:t>
      </w:r>
      <w:r>
        <w:rPr>
          <w:rFonts w:hint="eastAsia" w:ascii="仿宋_GB2312" w:hAnsi="仿宋_GB2312" w:eastAsia="仿宋_GB2312" w:cs="仿宋_GB2312"/>
          <w:szCs w:val="32"/>
          <w:lang w:val="en-US" w:eastAsia="zh-CN"/>
        </w:rPr>
        <w:t>供应商提交合格发票等资料给甲方，甲方在收到资料后15天内付款，具体以合同签订为准。</w:t>
      </w:r>
    </w:p>
    <w:p w14:paraId="26CB9EAF">
      <w:pPr>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（四）货物运输及包装方式要求：</w:t>
      </w:r>
      <w:r>
        <w:rPr>
          <w:rFonts w:hint="eastAsia" w:ascii="仿宋_GB2312" w:hAnsi="仿宋_GB2312" w:eastAsia="仿宋_GB2312" w:cs="仿宋_GB2312"/>
          <w:sz w:val="32"/>
          <w:szCs w:val="32"/>
        </w:rPr>
        <w:t>合同中所有的货物均须由供应商自行运往设备安装场所，不论设备从何处购置、采用何种方式运输，采购人不承担任何责任及相关费用。供应商应自行处理货物质量和数量短缺等问题。包装以保证货物的完好无损为标准。</w:t>
      </w:r>
    </w:p>
    <w:p w14:paraId="13958CD4">
      <w:pPr>
        <w:pStyle w:val="9"/>
        <w:keepNext w:val="0"/>
        <w:keepLines w:val="0"/>
        <w:pageBreakBefore w:val="0"/>
        <w:kinsoku/>
        <w:overflowPunct/>
        <w:topLinePunct w:val="0"/>
        <w:bidi w:val="0"/>
        <w:adjustRightInd/>
        <w:snapToGrid/>
        <w:spacing w:line="579" w:lineRule="exact"/>
        <w:ind w:firstLine="674"/>
        <w:rPr>
          <w:rFonts w:hint="eastAsia" w:ascii="楷体_GB2312" w:hAnsi="楷体_GB2312" w:eastAsia="楷体_GB2312" w:cs="楷体_GB2312"/>
          <w:szCs w:val="32"/>
          <w:highlight w:val="none"/>
        </w:rPr>
      </w:pPr>
      <w:r>
        <w:rPr>
          <w:rFonts w:hint="eastAsia" w:ascii="楷体_GB2312" w:hAnsi="楷体_GB2312" w:eastAsia="楷体_GB2312" w:cs="楷体_GB2312"/>
          <w:szCs w:val="32"/>
          <w:highlight w:val="none"/>
        </w:rPr>
        <w:t>（五）安装、调试及验收方式</w:t>
      </w:r>
    </w:p>
    <w:p w14:paraId="5D287D5B">
      <w:pPr>
        <w:pStyle w:val="9"/>
        <w:keepNext w:val="0"/>
        <w:keepLines w:val="0"/>
        <w:pageBreakBefore w:val="0"/>
        <w:kinsoku/>
        <w:overflowPunct/>
        <w:topLinePunct w:val="0"/>
        <w:bidi w:val="0"/>
        <w:adjustRightInd/>
        <w:snapToGrid/>
        <w:spacing w:line="579" w:lineRule="exact"/>
        <w:ind w:firstLine="674"/>
        <w:rPr>
          <w:rFonts w:hint="eastAsia" w:hAnsi="仿宋_GB2312" w:cs="仿宋_GB2312"/>
          <w:szCs w:val="32"/>
          <w:highlight w:val="yellow"/>
          <w:lang w:val="en-US" w:eastAsia="zh-CN"/>
        </w:rPr>
      </w:pPr>
      <w:r>
        <w:rPr>
          <w:rFonts w:hint="eastAsia" w:hAnsi="仿宋_GB2312" w:cs="仿宋_GB2312"/>
          <w:szCs w:val="32"/>
          <w:highlight w:val="none"/>
        </w:rPr>
        <w:t>1.供应商应派有经验的技术人员到现场进行安装、调试，直到设备正常使用。</w:t>
      </w:r>
    </w:p>
    <w:p w14:paraId="28487D54">
      <w:pPr>
        <w:pStyle w:val="9"/>
        <w:keepNext w:val="0"/>
        <w:keepLines w:val="0"/>
        <w:pageBreakBefore w:val="0"/>
        <w:kinsoku/>
        <w:overflowPunct/>
        <w:topLinePunct w:val="0"/>
        <w:bidi w:val="0"/>
        <w:adjustRightInd/>
        <w:snapToGrid/>
        <w:spacing w:line="579" w:lineRule="exact"/>
        <w:ind w:firstLine="674"/>
        <w:rPr>
          <w:rFonts w:hint="eastAsia" w:hAnsi="仿宋_GB2312" w:cs="仿宋_GB2312"/>
          <w:szCs w:val="32"/>
          <w:highlight w:val="none"/>
        </w:rPr>
      </w:pPr>
      <w:r>
        <w:rPr>
          <w:rFonts w:hint="eastAsia" w:hAnsi="仿宋_GB2312" w:cs="仿宋_GB2312"/>
          <w:szCs w:val="32"/>
          <w:highlight w:val="none"/>
        </w:rPr>
        <w:t>2.由采购人按合同和采购文件、响应文件约定的要求和标准及中华人民共和国现行的验收规范和评定标准进行交货验收。</w:t>
      </w:r>
    </w:p>
    <w:p w14:paraId="03DACE8F">
      <w:pPr>
        <w:pStyle w:val="9"/>
        <w:keepNext w:val="0"/>
        <w:keepLines w:val="0"/>
        <w:pageBreakBefore w:val="0"/>
        <w:kinsoku/>
        <w:overflowPunct/>
        <w:topLinePunct w:val="0"/>
        <w:bidi w:val="0"/>
        <w:adjustRightInd/>
        <w:snapToGrid/>
        <w:spacing w:line="579" w:lineRule="exact"/>
        <w:ind w:firstLine="674"/>
        <w:rPr>
          <w:rFonts w:hint="eastAsia" w:ascii="仿宋_GB2312" w:hAnsi="仿宋_GB2312" w:eastAsia="仿宋_GB2312" w:cs="仿宋_GB2312"/>
          <w:bCs/>
          <w:sz w:val="32"/>
          <w:szCs w:val="32"/>
          <w:highlight w:val="none"/>
        </w:rPr>
      </w:pPr>
      <w:r>
        <w:rPr>
          <w:rFonts w:hint="eastAsia" w:hAnsi="仿宋_GB2312" w:cs="仿宋_GB2312"/>
          <w:szCs w:val="32"/>
          <w:highlight w:val="none"/>
        </w:rPr>
        <w:t>3.验收要求：货物必须满足以下条件后方可被采购人接受：①设备全新,外观无伤痕变形或者明显修饰痕迹。②</w:t>
      </w:r>
      <w:r>
        <w:rPr>
          <w:rFonts w:hint="eastAsia" w:hAnsi="仿宋_GB2312" w:cs="仿宋_GB2312"/>
          <w:szCs w:val="32"/>
          <w:highlight w:val="none"/>
          <w:lang w:val="en-US" w:eastAsia="zh-CN"/>
        </w:rPr>
        <w:t>设备规格、材质符合采购人要求。</w:t>
      </w:r>
      <w:r>
        <w:rPr>
          <w:rFonts w:hint="eastAsia" w:hAnsi="仿宋_GB2312" w:cs="仿宋_GB2312"/>
          <w:szCs w:val="32"/>
          <w:highlight w:val="none"/>
        </w:rPr>
        <w:t>③必须符合有关国标的规定。检验及质量保证期内达到的性能指标与要求一致，达到或者优于相应标准。③技术文件资料、备件等已按规定数量移交完毕。④按照采购文件要求及响应文件提供的技术参数验收必须合格。④供应商提供的各种文件载明的内容必须真实，采购人有权要求供应商无偿提供第三方对供应商提供的技术数据的检测报告，检测方法应当经双方认可。检测结果必须</w:t>
      </w:r>
      <w:r>
        <w:rPr>
          <w:rFonts w:hint="eastAsia" w:ascii="仿宋_GB2312" w:hAnsi="仿宋_GB2312" w:eastAsia="仿宋_GB2312" w:cs="仿宋_GB2312"/>
          <w:bCs/>
          <w:sz w:val="32"/>
          <w:szCs w:val="32"/>
          <w:highlight w:val="none"/>
        </w:rPr>
        <w:t>证明供应商提供的技术数据是真实的，否则视为不合格。⑥在货物安装调试合格后，所有技术指标达到技术规范书要求，经验收合格后，双方共同签署验收报告。</w:t>
      </w:r>
    </w:p>
    <w:p w14:paraId="2F083C77">
      <w:pPr>
        <w:keepNext w:val="0"/>
        <w:keepLines w:val="0"/>
        <w:pageBreakBefore w:val="0"/>
        <w:kinsoku/>
        <w:overflowPunct/>
        <w:topLinePunct w:val="0"/>
        <w:bidi w:val="0"/>
        <w:adjustRightInd/>
        <w:snapToGrid/>
        <w:spacing w:line="579" w:lineRule="exact"/>
        <w:ind w:firstLine="640" w:firstLineChars="200"/>
        <w:rPr>
          <w:rFonts w:hint="eastAsia" w:ascii="楷体_GB2312" w:hAnsi="楷体_GB2312" w:eastAsia="楷体_GB2312" w:cs="楷体_GB2312"/>
          <w:bCs/>
          <w:sz w:val="32"/>
          <w:szCs w:val="32"/>
          <w:highlight w:val="none"/>
        </w:rPr>
      </w:pPr>
      <w:r>
        <w:rPr>
          <w:rFonts w:hint="eastAsia" w:ascii="楷体_GB2312" w:hAnsi="楷体_GB2312" w:eastAsia="楷体_GB2312" w:cs="楷体_GB2312"/>
          <w:bCs/>
          <w:sz w:val="32"/>
          <w:szCs w:val="32"/>
          <w:highlight w:val="none"/>
        </w:rPr>
        <w:t>（六）售后服务要求</w:t>
      </w:r>
    </w:p>
    <w:p w14:paraId="721455D0">
      <w:pPr>
        <w:keepNext w:val="0"/>
        <w:keepLines w:val="0"/>
        <w:pageBreakBefore w:val="0"/>
        <w:kinsoku/>
        <w:overflowPunct/>
        <w:topLinePunct w:val="0"/>
        <w:bidi w:val="0"/>
        <w:adjustRightInd/>
        <w:snapToGrid/>
        <w:spacing w:line="579" w:lineRule="exact"/>
        <w:ind w:firstLine="640" w:firstLineChars="200"/>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1.质量保证期为</w:t>
      </w:r>
      <w:r>
        <w:rPr>
          <w:rFonts w:hint="eastAsia" w:ascii="仿宋_GB2312" w:hAnsi="仿宋_GB2312" w:eastAsia="仿宋_GB2312" w:cs="仿宋_GB2312"/>
          <w:bCs/>
          <w:sz w:val="32"/>
          <w:szCs w:val="32"/>
          <w:highlight w:val="none"/>
          <w:u w:val="single"/>
          <w:lang w:val="en-US" w:eastAsia="zh-CN"/>
        </w:rPr>
        <w:t>1</w:t>
      </w:r>
      <w:r>
        <w:rPr>
          <w:rFonts w:hint="eastAsia" w:ascii="仿宋_GB2312" w:hAnsi="仿宋_GB2312" w:eastAsia="仿宋_GB2312" w:cs="仿宋_GB2312"/>
          <w:bCs/>
          <w:sz w:val="32"/>
          <w:szCs w:val="32"/>
          <w:highlight w:val="none"/>
        </w:rPr>
        <w:t>年。在此期间，如遇与所供产品有关的问题，供应商应在接采购人通知后</w:t>
      </w:r>
      <w:r>
        <w:rPr>
          <w:rFonts w:hint="eastAsia" w:ascii="仿宋_GB2312" w:hAnsi="仿宋_GB2312" w:eastAsia="仿宋_GB2312" w:cs="仿宋_GB2312"/>
          <w:bCs/>
          <w:sz w:val="32"/>
          <w:szCs w:val="32"/>
          <w:highlight w:val="none"/>
          <w:u w:val="single"/>
          <w:lang w:val="en-US" w:eastAsia="zh-CN"/>
        </w:rPr>
        <w:t>48</w:t>
      </w:r>
      <w:r>
        <w:rPr>
          <w:rFonts w:hint="eastAsia" w:ascii="仿宋_GB2312" w:hAnsi="仿宋_GB2312" w:eastAsia="仿宋_GB2312" w:cs="仿宋_GB2312"/>
          <w:bCs/>
          <w:sz w:val="32"/>
          <w:szCs w:val="32"/>
          <w:highlight w:val="none"/>
        </w:rPr>
        <w:t>小时内赶到现场提供免费服务。</w:t>
      </w:r>
    </w:p>
    <w:p w14:paraId="639F5BE1">
      <w:pPr>
        <w:keepNext w:val="0"/>
        <w:keepLines w:val="0"/>
        <w:pageBreakBefore w:val="0"/>
        <w:kinsoku/>
        <w:overflowPunct/>
        <w:topLinePunct w:val="0"/>
        <w:bidi w:val="0"/>
        <w:adjustRightInd/>
        <w:snapToGrid/>
        <w:spacing w:line="579" w:lineRule="exact"/>
        <w:ind w:firstLine="640" w:firstLineChars="200"/>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2.供应商应提供售后服务队伍名称、资质、人员配备、联系地址、电话等详细资料，以及用户人员操作培训、长期保修、维护服务和今后技术支持的措施计划和承诺。</w:t>
      </w:r>
    </w:p>
    <w:p w14:paraId="4A4384C2">
      <w:pPr>
        <w:keepNext w:val="0"/>
        <w:keepLines w:val="0"/>
        <w:pageBreakBefore w:val="0"/>
        <w:kinsoku/>
        <w:overflowPunct/>
        <w:topLinePunct w:val="0"/>
        <w:bidi w:val="0"/>
        <w:adjustRightInd/>
        <w:snapToGrid/>
        <w:spacing w:line="579" w:lineRule="exact"/>
        <w:ind w:firstLine="640" w:firstLineChars="200"/>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3.在保质期满以后，供应商为此设备应以优惠价格终生提供保障其正常运行的配件和维护并能提供送货上门服务（以设备正常使用年限为限）。</w:t>
      </w:r>
    </w:p>
    <w:p w14:paraId="7E80CA5C">
      <w:pPr>
        <w:keepNext w:val="0"/>
        <w:keepLines w:val="0"/>
        <w:pageBreakBefore w:val="0"/>
        <w:kinsoku/>
        <w:overflowPunct/>
        <w:topLinePunct w:val="0"/>
        <w:bidi w:val="0"/>
        <w:adjustRightInd/>
        <w:snapToGrid/>
        <w:spacing w:line="579" w:lineRule="exact"/>
        <w:ind w:firstLine="640" w:firstLineChars="200"/>
        <w:rPr>
          <w:rFonts w:hint="eastAsia" w:ascii="仿宋_GB2312" w:hAnsi="仿宋_GB2312" w:eastAsia="仿宋_GB2312" w:cs="仿宋_GB2312"/>
          <w:bCs/>
          <w:sz w:val="32"/>
          <w:szCs w:val="32"/>
          <w:highlight w:val="none"/>
        </w:rPr>
      </w:pPr>
      <w:r>
        <w:rPr>
          <w:rFonts w:hint="eastAsia" w:ascii="楷体_GB2312" w:hAnsi="楷体_GB2312" w:eastAsia="楷体_GB2312" w:cs="楷体_GB2312"/>
          <w:bCs/>
          <w:sz w:val="32"/>
          <w:szCs w:val="32"/>
          <w:highlight w:val="none"/>
        </w:rPr>
        <w:t>（七）备件备品要求</w:t>
      </w:r>
    </w:p>
    <w:p w14:paraId="659B4519">
      <w:pPr>
        <w:keepNext w:val="0"/>
        <w:keepLines w:val="0"/>
        <w:pageBreakBefore w:val="0"/>
        <w:kinsoku/>
        <w:overflowPunct/>
        <w:topLinePunct w:val="0"/>
        <w:bidi w:val="0"/>
        <w:adjustRightInd/>
        <w:snapToGrid/>
        <w:spacing w:line="579" w:lineRule="exact"/>
        <w:ind w:firstLine="640" w:firstLineChars="200"/>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1.在质保期内，供应商应无偿并迅速更换由于元件缺陷及制造工艺等问题而发生故障的产品。</w:t>
      </w:r>
    </w:p>
    <w:p w14:paraId="7C3EF000">
      <w:pPr>
        <w:keepNext w:val="0"/>
        <w:keepLines w:val="0"/>
        <w:pageBreakBefore w:val="0"/>
        <w:kinsoku/>
        <w:overflowPunct/>
        <w:topLinePunct w:val="0"/>
        <w:bidi w:val="0"/>
        <w:adjustRightInd/>
        <w:snapToGrid/>
        <w:spacing w:line="579" w:lineRule="exact"/>
        <w:ind w:firstLine="640" w:firstLineChars="200"/>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2.保质期满以后，供应商应按其在深圳地区同类产品的优惠价格提供保修服务。</w:t>
      </w:r>
    </w:p>
    <w:p w14:paraId="080F2AEE">
      <w:pPr>
        <w:keepNext w:val="0"/>
        <w:keepLines w:val="0"/>
        <w:pageBreakBefore w:val="0"/>
        <w:kinsoku/>
        <w:overflowPunct/>
        <w:topLinePunct w:val="0"/>
        <w:bidi w:val="0"/>
        <w:adjustRightInd/>
        <w:snapToGrid/>
        <w:spacing w:line="579" w:lineRule="exact"/>
        <w:ind w:firstLine="640" w:firstLineChars="200"/>
        <w:outlineLvl w:val="1"/>
        <w:rPr>
          <w:rFonts w:hint="eastAsia" w:ascii="仿宋_GB2312" w:hAnsi="仿宋_GB2312" w:eastAsia="仿宋_GB2312" w:cs="仿宋_GB2312"/>
          <w:bCs/>
          <w:sz w:val="32"/>
          <w:szCs w:val="32"/>
          <w:highlight w:val="none"/>
          <w:lang w:eastAsia="zh-CN"/>
        </w:rPr>
      </w:pPr>
      <w:r>
        <w:rPr>
          <w:rFonts w:hint="eastAsia" w:ascii="楷体_GB2312" w:hAnsi="楷体_GB2312" w:eastAsia="楷体_GB2312" w:cs="楷体_GB2312"/>
          <w:bCs/>
          <w:sz w:val="32"/>
          <w:szCs w:val="32"/>
          <w:highlight w:val="none"/>
        </w:rPr>
        <w:t>（</w:t>
      </w:r>
      <w:r>
        <w:rPr>
          <w:rFonts w:hint="eastAsia" w:ascii="楷体_GB2312" w:hAnsi="楷体_GB2312" w:eastAsia="楷体_GB2312" w:cs="楷体_GB2312"/>
          <w:bCs/>
          <w:sz w:val="32"/>
          <w:szCs w:val="32"/>
          <w:highlight w:val="none"/>
          <w:lang w:val="en-US" w:eastAsia="zh-CN"/>
        </w:rPr>
        <w:t>八</w:t>
      </w:r>
      <w:r>
        <w:rPr>
          <w:rFonts w:hint="eastAsia" w:ascii="楷体_GB2312" w:hAnsi="楷体_GB2312" w:eastAsia="楷体_GB2312" w:cs="楷体_GB2312"/>
          <w:bCs/>
          <w:sz w:val="32"/>
          <w:szCs w:val="32"/>
          <w:highlight w:val="none"/>
        </w:rPr>
        <w:t>）其他：</w:t>
      </w:r>
      <w:r>
        <w:rPr>
          <w:rFonts w:hint="eastAsia" w:ascii="仿宋_GB2312" w:hAnsi="仿宋_GB2312" w:eastAsia="仿宋_GB2312" w:cs="仿宋_GB2312"/>
          <w:bCs/>
          <w:sz w:val="32"/>
          <w:szCs w:val="32"/>
          <w:highlight w:val="none"/>
        </w:rPr>
        <w:t>供应商在安装期间应严格遵守《中华人民共和国安全生产法》和采购方安全生产管理制度，按照国家和有关行业的规程、规范、 规则、要求、方法及中华人民共和国国家标准实施安全生产管理，确保安全施工</w:t>
      </w:r>
      <w:r>
        <w:rPr>
          <w:rFonts w:hint="eastAsia" w:ascii="仿宋_GB2312" w:hAnsi="仿宋_GB2312" w:eastAsia="仿宋_GB2312" w:cs="仿宋_GB2312"/>
          <w:bCs/>
          <w:sz w:val="32"/>
          <w:szCs w:val="32"/>
          <w:highlight w:val="none"/>
          <w:lang w:eastAsia="zh-CN"/>
        </w:rPr>
        <w:t>。</w:t>
      </w:r>
    </w:p>
    <w:p w14:paraId="1ABFB1CD">
      <w:pPr>
        <w:keepNext w:val="0"/>
        <w:keepLines w:val="0"/>
        <w:pageBreakBefore w:val="0"/>
        <w:kinsoku/>
        <w:overflowPunct/>
        <w:topLinePunct w:val="0"/>
        <w:bidi w:val="0"/>
        <w:adjustRightInd/>
        <w:snapToGrid/>
        <w:spacing w:line="579" w:lineRule="exact"/>
        <w:ind w:firstLine="640" w:firstLineChars="200"/>
        <w:outlineLvl w:val="1"/>
        <w:rPr>
          <w:rFonts w:hint="eastAsia" w:ascii="黑体" w:hAnsi="黑体" w:eastAsia="黑体" w:cs="黑体"/>
          <w:bCs/>
          <w:sz w:val="32"/>
          <w:szCs w:val="32"/>
          <w:highlight w:val="none"/>
          <w:lang w:eastAsia="zh-CN"/>
        </w:rPr>
      </w:pPr>
      <w:r>
        <w:rPr>
          <w:rFonts w:hint="eastAsia" w:ascii="黑体" w:hAnsi="黑体" w:eastAsia="黑体" w:cs="黑体"/>
          <w:bCs/>
          <w:sz w:val="32"/>
          <w:szCs w:val="32"/>
          <w:highlight w:val="none"/>
          <w:lang w:eastAsia="zh-CN"/>
        </w:rPr>
        <w:t>三</w:t>
      </w:r>
      <w:r>
        <w:rPr>
          <w:rFonts w:hint="eastAsia" w:ascii="黑体" w:hAnsi="黑体" w:eastAsia="黑体" w:cs="黑体"/>
          <w:bCs/>
          <w:sz w:val="32"/>
          <w:szCs w:val="32"/>
          <w:highlight w:val="none"/>
        </w:rPr>
        <w:t>、</w:t>
      </w:r>
      <w:r>
        <w:rPr>
          <w:rFonts w:hint="eastAsia" w:ascii="黑体" w:hAnsi="黑体" w:eastAsia="黑体" w:cs="黑体"/>
          <w:bCs/>
          <w:sz w:val="32"/>
          <w:szCs w:val="32"/>
          <w:highlight w:val="none"/>
          <w:lang w:eastAsia="zh-CN"/>
        </w:rPr>
        <w:t>响应资格要求</w:t>
      </w:r>
    </w:p>
    <w:p w14:paraId="4C1444E0">
      <w:pPr>
        <w:pStyle w:val="9"/>
        <w:keepNext w:val="0"/>
        <w:keepLines w:val="0"/>
        <w:pageBreakBefore w:val="0"/>
        <w:kinsoku/>
        <w:overflowPunct/>
        <w:topLinePunct w:val="0"/>
        <w:bidi w:val="0"/>
        <w:adjustRightInd/>
        <w:snapToGrid/>
        <w:spacing w:line="579" w:lineRule="exact"/>
        <w:ind w:firstLine="674"/>
        <w:rPr>
          <w:rFonts w:hint="eastAsia" w:hAnsi="仿宋_GB2312" w:cs="仿宋_GB2312"/>
          <w:bCs/>
          <w:sz w:val="32"/>
          <w:szCs w:val="32"/>
          <w:highlight w:val="none"/>
          <w:lang w:eastAsia="zh-CN"/>
        </w:rPr>
      </w:pPr>
      <w:r>
        <w:rPr>
          <w:rFonts w:hint="eastAsia" w:ascii="仿宋_GB2312" w:hAnsi="仿宋_GB2312" w:eastAsia="仿宋_GB2312" w:cs="仿宋_GB2312"/>
          <w:bCs/>
          <w:sz w:val="32"/>
          <w:szCs w:val="32"/>
          <w:highlight w:val="none"/>
        </w:rPr>
        <w:t>1.</w:t>
      </w:r>
      <w:r>
        <w:rPr>
          <w:rFonts w:hint="eastAsia" w:hAnsi="仿宋_GB2312" w:cs="仿宋_GB2312"/>
          <w:bCs/>
          <w:sz w:val="32"/>
          <w:szCs w:val="32"/>
          <w:highlight w:val="none"/>
          <w:lang w:eastAsia="zh-CN"/>
        </w:rPr>
        <w:t>响应供应商须为具有独立承担民事责任能力的法人或非法人组织（独立法人提供营业执照扫描件或复印件；非法人组织则提供主管部门颁发或批准成立的证书或其他证明文件扫描件或复印件）。</w:t>
      </w:r>
    </w:p>
    <w:p w14:paraId="0B1CDD02">
      <w:pPr>
        <w:pStyle w:val="9"/>
        <w:keepNext w:val="0"/>
        <w:keepLines w:val="0"/>
        <w:pageBreakBefore w:val="0"/>
        <w:kinsoku/>
        <w:overflowPunct/>
        <w:topLinePunct w:val="0"/>
        <w:bidi w:val="0"/>
        <w:adjustRightInd/>
        <w:snapToGrid/>
        <w:spacing w:line="579" w:lineRule="exact"/>
        <w:ind w:firstLine="674"/>
        <w:rPr>
          <w:rFonts w:hint="eastAsia" w:hAnsi="仿宋_GB2312" w:cs="仿宋_GB2312"/>
          <w:bCs/>
          <w:sz w:val="32"/>
          <w:szCs w:val="32"/>
          <w:highlight w:val="none"/>
          <w:lang w:val="en-US" w:eastAsia="zh-CN"/>
        </w:rPr>
      </w:pPr>
      <w:r>
        <w:rPr>
          <w:rFonts w:hint="default" w:hAnsi="仿宋_GB2312" w:cs="仿宋_GB2312"/>
          <w:bCs/>
          <w:sz w:val="32"/>
          <w:szCs w:val="32"/>
          <w:highlight w:val="none"/>
          <w:lang w:val="en-US" w:eastAsia="zh-CN"/>
        </w:rPr>
        <w:t>2.</w:t>
      </w:r>
      <w:r>
        <w:rPr>
          <w:rFonts w:hint="eastAsia" w:hAnsi="仿宋_GB2312" w:cs="仿宋_GB2312"/>
          <w:bCs/>
          <w:sz w:val="32"/>
          <w:szCs w:val="32"/>
          <w:highlight w:val="none"/>
          <w:lang w:val="en-US" w:eastAsia="zh-CN"/>
        </w:rPr>
        <w:t>满足《中华人民共和国政府采购法》第二十二条规定。</w:t>
      </w:r>
    </w:p>
    <w:p w14:paraId="48426ACE">
      <w:pPr>
        <w:pStyle w:val="9"/>
        <w:keepNext w:val="0"/>
        <w:keepLines w:val="0"/>
        <w:pageBreakBefore w:val="0"/>
        <w:kinsoku/>
        <w:overflowPunct/>
        <w:topLinePunct w:val="0"/>
        <w:bidi w:val="0"/>
        <w:adjustRightInd/>
        <w:snapToGrid/>
        <w:spacing w:line="579" w:lineRule="exact"/>
        <w:ind w:firstLine="674"/>
        <w:rPr>
          <w:rFonts w:hint="eastAsia" w:hAnsi="仿宋_GB2312" w:cs="仿宋_GB2312"/>
          <w:bCs/>
          <w:sz w:val="32"/>
          <w:szCs w:val="32"/>
          <w:highlight w:val="none"/>
          <w:lang w:val="en-US" w:eastAsia="zh-CN"/>
        </w:rPr>
      </w:pPr>
      <w:r>
        <w:rPr>
          <w:rFonts w:hint="default" w:hAnsi="仿宋_GB2312" w:cs="仿宋_GB2312"/>
          <w:bCs/>
          <w:sz w:val="32"/>
          <w:szCs w:val="32"/>
          <w:highlight w:val="none"/>
          <w:lang w:val="en-US" w:eastAsia="zh-CN"/>
        </w:rPr>
        <w:t>3.</w:t>
      </w:r>
      <w:r>
        <w:rPr>
          <w:rFonts w:hint="eastAsia" w:hAnsi="仿宋_GB2312" w:cs="仿宋_GB2312"/>
          <w:bCs/>
          <w:sz w:val="32"/>
          <w:szCs w:val="32"/>
          <w:highlight w:val="none"/>
          <w:lang w:val="en-US" w:eastAsia="zh-CN"/>
        </w:rPr>
        <w:t>单位负责人为同一人或者存在直接控股、管理关系的不同供应商，不得参加同一合同项目下的政府采购活动。</w:t>
      </w:r>
    </w:p>
    <w:p w14:paraId="244CFD7F">
      <w:pPr>
        <w:pStyle w:val="9"/>
        <w:keepNext w:val="0"/>
        <w:keepLines w:val="0"/>
        <w:pageBreakBefore w:val="0"/>
        <w:kinsoku/>
        <w:overflowPunct/>
        <w:topLinePunct w:val="0"/>
        <w:bidi w:val="0"/>
        <w:adjustRightInd/>
        <w:snapToGrid/>
        <w:spacing w:line="579" w:lineRule="exact"/>
        <w:ind w:firstLine="674"/>
        <w:rPr>
          <w:rFonts w:hint="eastAsia" w:hAnsi="仿宋_GB2312" w:cs="仿宋_GB2312"/>
          <w:bCs/>
          <w:sz w:val="32"/>
          <w:szCs w:val="32"/>
          <w:highlight w:val="none"/>
          <w:lang w:val="en-US" w:eastAsia="zh-CN"/>
        </w:rPr>
      </w:pPr>
      <w:r>
        <w:rPr>
          <w:rFonts w:hint="default" w:hAnsi="仿宋_GB2312" w:cs="仿宋_GB2312"/>
          <w:bCs/>
          <w:sz w:val="32"/>
          <w:szCs w:val="32"/>
          <w:highlight w:val="none"/>
          <w:lang w:val="en-US" w:eastAsia="zh-CN"/>
        </w:rPr>
        <w:t>4.</w:t>
      </w:r>
      <w:r>
        <w:rPr>
          <w:rFonts w:hint="eastAsia" w:hAnsi="仿宋_GB2312" w:cs="仿宋_GB2312"/>
          <w:bCs/>
          <w:sz w:val="32"/>
          <w:szCs w:val="32"/>
          <w:highlight w:val="none"/>
          <w:lang w:val="en-US" w:eastAsia="zh-CN"/>
        </w:rPr>
        <w:t>本项目不接受联合体投标，不允许分包转包，不许进口产品参与投标。</w:t>
      </w:r>
    </w:p>
    <w:p w14:paraId="16608E24">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黑体" w:hAnsi="黑体" w:eastAsia="黑体" w:cs="黑体"/>
          <w:kern w:val="2"/>
          <w:sz w:val="32"/>
          <w:szCs w:val="32"/>
          <w:highlight w:val="none"/>
          <w:lang w:val="en-US" w:eastAsia="zh-CN" w:bidi="ar-SA"/>
        </w:rPr>
      </w:pPr>
      <w:bookmarkStart w:id="0" w:name="_Toc30484"/>
      <w:r>
        <w:rPr>
          <w:rFonts w:hint="eastAsia" w:ascii="黑体" w:hAnsi="黑体" w:eastAsia="黑体" w:cs="黑体"/>
          <w:kern w:val="2"/>
          <w:sz w:val="32"/>
          <w:szCs w:val="32"/>
          <w:highlight w:val="none"/>
          <w:lang w:val="en-US" w:eastAsia="zh-CN" w:bidi="ar-SA"/>
        </w:rPr>
        <w:t>四、评标信息</w:t>
      </w:r>
      <w:bookmarkEnd w:id="0"/>
    </w:p>
    <w:p w14:paraId="6C8D3DA2">
      <w:pPr>
        <w:spacing w:line="360" w:lineRule="auto"/>
        <w:ind w:firstLine="640" w:firstLineChars="20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本次评标采用综合评分法，按照招标文件中规定的各项因素进行量化打分，以评标总得分最高的供应商为中标候选供应商。</w:t>
      </w:r>
    </w:p>
    <w:p w14:paraId="2EEC97A1">
      <w:pPr>
        <w:spacing w:line="360" w:lineRule="auto"/>
        <w:ind w:firstLine="640" w:firstLineChars="20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确定中标供应商按评审后得分由高到低顺序排序。得分排名前3名的供应商作为中标候选人。得分相同的，按投标报价由低到高排列。得分且投标报价相同的，按技术指标优劣顺序排列。综合得分、投标报价及技术得分均相同的，评标委员会成员通过表决以少数服从多数原则，决定列前中标候选人。</w:t>
      </w:r>
    </w:p>
    <w:p w14:paraId="4F706B72">
      <w:pPr>
        <w:pStyle w:val="2"/>
        <w:tabs>
          <w:tab w:val="left" w:pos="562"/>
          <w:tab w:val="left" w:pos="3372"/>
          <w:tab w:val="left" w:pos="3653"/>
        </w:tabs>
        <w:spacing w:line="360" w:lineRule="auto"/>
        <w:ind w:firstLine="640" w:firstLineChars="20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价格分应当采用低价优先法计算，即满足招标文件要求且投标价格最低的投标报价为评标基准价，其价格分为满分。其他投标人的价格分统一按照下列公式计算：</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投标报价得分=(评标基准价/投标报价)×100</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评标总得分=F1×A1+F2×A2+……+Fn×An</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F1、F2……Fn分别为各项评审因素的得分；</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A1、A2、……An 分别为各项评审因素所占的权重(A1+A2+……+An=1)。</w:t>
      </w:r>
    </w:p>
    <w:p w14:paraId="73475342">
      <w:pPr>
        <w:spacing w:line="360" w:lineRule="auto"/>
        <w:ind w:firstLine="640" w:firstLineChars="20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评标委员会对每个通过资格性检查和符合性检查且报价不超过预算控制金额的投标供应商进行评审、打分，然后汇总每个投标供应商每项评分因素的评分，得分精确到小数点后两位（四舍五入）。</w:t>
      </w:r>
    </w:p>
    <w:p w14:paraId="198D4293">
      <w:pPr>
        <w:keepNext w:val="0"/>
        <w:keepLines w:val="0"/>
        <w:spacing w:beforeLines="-2147483648" w:afterLines="-2147483648" w:line="579" w:lineRule="exact"/>
        <w:ind w:firstLine="640" w:firstLineChars="200"/>
        <w:jc w:val="left"/>
        <w:textAlignment w:val="auto"/>
        <w:outlineLvl w:val="0"/>
        <w:rPr>
          <w:rFonts w:hint="eastAsia" w:ascii="方正大标宋简体" w:hAnsi="方正大标宋简体" w:eastAsia="方正大标宋简体" w:cs="方正大标宋简体"/>
          <w:sz w:val="44"/>
          <w:szCs w:val="44"/>
          <w:highlight w:val="none"/>
        </w:rPr>
      </w:pPr>
      <w:r>
        <w:rPr>
          <w:rFonts w:hint="eastAsia" w:ascii="仿宋_GB2312" w:hAnsi="仿宋_GB2312" w:eastAsia="仿宋_GB2312" w:cs="仿宋_GB2312"/>
          <w:kern w:val="2"/>
          <w:sz w:val="32"/>
          <w:szCs w:val="32"/>
          <w:lang w:val="en-US" w:eastAsia="zh-CN" w:bidi="ar-SA"/>
        </w:rPr>
        <w:t>评委会在评标时，按照以下量化的评审因素，对进入该阶段评审的各投标文件进行分析和比较：</w:t>
      </w:r>
    </w:p>
    <w:p w14:paraId="5911F62A">
      <w:pPr>
        <w:keepNext/>
        <w:keepLines/>
        <w:spacing w:beforeLines="0" w:afterLines="0" w:line="579" w:lineRule="exact"/>
        <w:jc w:val="center"/>
        <w:textAlignment w:val="baseline"/>
        <w:outlineLvl w:val="0"/>
        <w:rPr>
          <w:rFonts w:hint="eastAsia"/>
          <w:lang w:eastAsia="zh-CN"/>
        </w:rPr>
      </w:pPr>
      <w:r>
        <w:rPr>
          <w:rFonts w:hint="eastAsia" w:ascii="方正大标宋简体" w:hAnsi="方正大标宋简体" w:eastAsia="方正大标宋简体" w:cs="方正大标宋简体"/>
          <w:sz w:val="44"/>
          <w:szCs w:val="44"/>
          <w:highlight w:val="none"/>
        </w:rPr>
        <w:t>供应商</w:t>
      </w:r>
      <w:bookmarkStart w:id="1" w:name="_Toc10737"/>
      <w:bookmarkStart w:id="2" w:name="_Toc2623"/>
      <w:bookmarkStart w:id="3" w:name="_Toc27623"/>
      <w:bookmarkStart w:id="4" w:name="_Toc14496"/>
      <w:bookmarkStart w:id="5" w:name="_Toc7734"/>
      <w:bookmarkStart w:id="6" w:name="_Toc19174"/>
      <w:bookmarkStart w:id="7" w:name="_Toc23480"/>
      <w:bookmarkStart w:id="8" w:name="_Toc5254"/>
      <w:bookmarkStart w:id="9" w:name="_Toc22677"/>
      <w:bookmarkStart w:id="10" w:name="_Toc2754"/>
      <w:bookmarkStart w:id="11" w:name="_Toc19810"/>
      <w:bookmarkStart w:id="12" w:name="_Toc44506129"/>
      <w:bookmarkStart w:id="13" w:name="_Toc1731"/>
      <w:bookmarkStart w:id="14" w:name="_Toc480"/>
      <w:bookmarkStart w:id="15" w:name="_Toc10179"/>
      <w:r>
        <w:rPr>
          <w:rFonts w:hint="eastAsia" w:ascii="方正大标宋简体" w:hAnsi="方正大标宋简体" w:eastAsia="方正大标宋简体" w:cs="方正大标宋简体"/>
          <w:b w:val="0"/>
          <w:kern w:val="2"/>
          <w:sz w:val="44"/>
          <w:szCs w:val="44"/>
          <w:highlight w:val="none"/>
        </w:rPr>
        <w:t>评标信息</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tbl>
      <w:tblPr>
        <w:tblStyle w:val="11"/>
        <w:tblW w:w="90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6"/>
        <w:gridCol w:w="1913"/>
        <w:gridCol w:w="5639"/>
      </w:tblGrid>
      <w:tr w14:paraId="7B1B4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3419" w:type="dxa"/>
            <w:gridSpan w:val="2"/>
            <w:vAlign w:val="center"/>
          </w:tcPr>
          <w:p w14:paraId="0A227EB6">
            <w:pPr>
              <w:spacing w:beforeLines="0" w:afterLines="0" w:line="400" w:lineRule="exact"/>
              <w:jc w:val="center"/>
              <w:rPr>
                <w:rFonts w:ascii="黑体" w:hAnsi="黑体" w:eastAsia="黑体" w:cs="黑体"/>
                <w:color w:val="auto"/>
                <w:sz w:val="32"/>
                <w:szCs w:val="32"/>
              </w:rPr>
            </w:pPr>
            <w:r>
              <w:rPr>
                <w:rFonts w:hint="eastAsia" w:ascii="黑体" w:hAnsi="黑体" w:eastAsia="黑体" w:cs="黑体"/>
                <w:color w:val="auto"/>
                <w:sz w:val="32"/>
                <w:szCs w:val="32"/>
              </w:rPr>
              <w:t>项目名称</w:t>
            </w:r>
          </w:p>
        </w:tc>
        <w:tc>
          <w:tcPr>
            <w:tcW w:w="5639" w:type="dxa"/>
            <w:vAlign w:val="center"/>
          </w:tcPr>
          <w:p w14:paraId="03355E66">
            <w:pPr>
              <w:spacing w:beforeLines="0" w:afterLines="0" w:line="400" w:lineRule="exact"/>
              <w:jc w:val="center"/>
              <w:rPr>
                <w:rFonts w:ascii="黑体" w:hAnsi="黑体" w:eastAsia="黑体" w:cs="黑体"/>
                <w:color w:val="auto"/>
                <w:sz w:val="32"/>
                <w:szCs w:val="32"/>
              </w:rPr>
            </w:pPr>
            <w:r>
              <w:rPr>
                <w:rFonts w:hint="eastAsia" w:ascii="黑体" w:hAnsi="黑体" w:eastAsia="黑体" w:cs="黑体"/>
                <w:color w:val="auto"/>
                <w:sz w:val="32"/>
                <w:szCs w:val="32"/>
                <w:lang w:val="en-US" w:eastAsia="zh-CN"/>
              </w:rPr>
              <w:t>2025年新洲社区涵洞安全栅栏安装项目</w:t>
            </w:r>
          </w:p>
        </w:tc>
      </w:tr>
      <w:tr w14:paraId="3BD12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3419" w:type="dxa"/>
            <w:gridSpan w:val="2"/>
            <w:vAlign w:val="center"/>
          </w:tcPr>
          <w:p w14:paraId="1E51EBB0">
            <w:pPr>
              <w:spacing w:beforeLines="0" w:afterLines="0" w:line="400" w:lineRule="exact"/>
              <w:jc w:val="center"/>
              <w:rPr>
                <w:rFonts w:ascii="黑体" w:hAnsi="黑体" w:eastAsia="黑体" w:cs="黑体"/>
                <w:color w:val="auto"/>
                <w:sz w:val="32"/>
                <w:szCs w:val="32"/>
              </w:rPr>
            </w:pPr>
            <w:r>
              <w:rPr>
                <w:rFonts w:hint="eastAsia" w:ascii="黑体" w:hAnsi="黑体" w:eastAsia="黑体" w:cs="黑体"/>
                <w:color w:val="auto"/>
                <w:sz w:val="32"/>
                <w:szCs w:val="32"/>
              </w:rPr>
              <w:t>评判要素</w:t>
            </w:r>
          </w:p>
        </w:tc>
        <w:tc>
          <w:tcPr>
            <w:tcW w:w="5639" w:type="dxa"/>
            <w:vAlign w:val="center"/>
          </w:tcPr>
          <w:p w14:paraId="332B834F">
            <w:pPr>
              <w:spacing w:beforeLines="0" w:afterLines="0" w:line="400" w:lineRule="exact"/>
              <w:jc w:val="center"/>
              <w:rPr>
                <w:rFonts w:hint="eastAsia" w:ascii="黑体" w:hAnsi="黑体" w:eastAsia="黑体" w:cs="黑体"/>
                <w:color w:val="auto"/>
                <w:sz w:val="32"/>
                <w:szCs w:val="32"/>
              </w:rPr>
            </w:pPr>
            <w:r>
              <w:rPr>
                <w:rFonts w:hint="eastAsia" w:ascii="黑体" w:hAnsi="黑体" w:eastAsia="黑体" w:cs="黑体"/>
                <w:color w:val="auto"/>
                <w:sz w:val="32"/>
                <w:szCs w:val="32"/>
              </w:rPr>
              <w:t>评分标准</w:t>
            </w:r>
          </w:p>
        </w:tc>
      </w:tr>
      <w:tr w14:paraId="6F0D4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5" w:hRule="atLeast"/>
        </w:trPr>
        <w:tc>
          <w:tcPr>
            <w:tcW w:w="3419" w:type="dxa"/>
            <w:gridSpan w:val="2"/>
            <w:vAlign w:val="center"/>
          </w:tcPr>
          <w:p w14:paraId="0E8A7E9C">
            <w:pPr>
              <w:widowControl/>
              <w:wordWrap w:val="0"/>
              <w:spacing w:beforeLines="0" w:afterLines="0" w:line="400" w:lineRule="exact"/>
              <w:jc w:val="left"/>
              <w:textAlignment w:val="top"/>
              <w:rPr>
                <w:rFonts w:hint="eastAsia" w:ascii="宋体" w:hAnsi="宋体" w:eastAsia="宋体" w:cs="Times New Roman"/>
                <w:color w:val="auto"/>
                <w:sz w:val="32"/>
                <w:szCs w:val="32"/>
              </w:rPr>
            </w:pPr>
            <w:r>
              <w:rPr>
                <w:rFonts w:hint="eastAsia" w:ascii="仿宋_GB2312" w:hAnsi="仿宋_GB2312" w:eastAsia="仿宋_GB2312" w:cs="仿宋_GB2312"/>
                <w:color w:val="auto"/>
                <w:sz w:val="32"/>
                <w:szCs w:val="32"/>
              </w:rPr>
              <w:t>（一）价格</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30</w:t>
            </w:r>
            <w:r>
              <w:rPr>
                <w:rFonts w:hint="eastAsia" w:ascii="仿宋_GB2312" w:hAnsi="仿宋_GB2312" w:eastAsia="仿宋_GB2312" w:cs="仿宋_GB2312"/>
                <w:color w:val="auto"/>
                <w:sz w:val="32"/>
                <w:szCs w:val="32"/>
                <w:highlight w:val="none"/>
              </w:rPr>
              <w:t>分）</w:t>
            </w:r>
          </w:p>
        </w:tc>
        <w:tc>
          <w:tcPr>
            <w:tcW w:w="5639" w:type="dxa"/>
            <w:vAlign w:val="center"/>
          </w:tcPr>
          <w:p w14:paraId="2D8F92C2">
            <w:pPr>
              <w:pStyle w:val="4"/>
              <w:keepNext w:val="0"/>
              <w:keepLines w:val="0"/>
              <w:pageBreakBefore w:val="0"/>
              <w:kinsoku/>
              <w:overflowPunct/>
              <w:topLinePunct w:val="0"/>
              <w:autoSpaceDE/>
              <w:autoSpaceDN/>
              <w:bidi w:val="0"/>
              <w:adjustRightInd/>
              <w:snapToGrid/>
              <w:spacing w:beforeLines="0" w:afterLines="0" w:line="400" w:lineRule="exact"/>
              <w:jc w:val="left"/>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价格分计算方法</w:t>
            </w:r>
            <w:r>
              <w:rPr>
                <w:rFonts w:hint="eastAsia" w:ascii="仿宋_GB2312" w:hAnsi="仿宋_GB2312" w:eastAsia="仿宋_GB2312" w:cs="仿宋_GB2312"/>
                <w:color w:val="auto"/>
                <w:kern w:val="2"/>
                <w:sz w:val="32"/>
                <w:szCs w:val="32"/>
                <w:highlight w:val="none"/>
              </w:rPr>
              <w:t>：</w:t>
            </w:r>
          </w:p>
          <w:p w14:paraId="39D8D8B2">
            <w:pPr>
              <w:keepNext w:val="0"/>
              <w:keepLines w:val="0"/>
              <w:pageBreakBefore w:val="0"/>
              <w:widowControl/>
              <w:kinsoku/>
              <w:wordWrap w:val="0"/>
              <w:overflowPunct/>
              <w:topLinePunct w:val="0"/>
              <w:autoSpaceDE/>
              <w:autoSpaceDN/>
              <w:bidi w:val="0"/>
              <w:adjustRightInd/>
              <w:snapToGrid/>
              <w:spacing w:beforeLines="0" w:afterLines="0" w:line="400" w:lineRule="exact"/>
              <w:jc w:val="left"/>
              <w:textAlignment w:val="top"/>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 xml:space="preserve">采用低价优先法计算，即满足招标文件要求且投标价格最低的投标报价为评标基准价，其价格分为满分。其他投标人的价格分统一按照下列公式计算： </w:t>
            </w:r>
          </w:p>
          <w:p w14:paraId="785AE888">
            <w:pPr>
              <w:keepNext w:val="0"/>
              <w:keepLines w:val="0"/>
              <w:pageBreakBefore w:val="0"/>
              <w:widowControl/>
              <w:kinsoku/>
              <w:wordWrap w:val="0"/>
              <w:overflowPunct/>
              <w:topLinePunct w:val="0"/>
              <w:autoSpaceDE/>
              <w:autoSpaceDN/>
              <w:bidi w:val="0"/>
              <w:adjustRightInd/>
              <w:snapToGrid/>
              <w:spacing w:beforeLines="0" w:afterLines="0" w:line="400" w:lineRule="exact"/>
              <w:jc w:val="left"/>
              <w:textAlignment w:val="top"/>
              <w:rPr>
                <w:rFonts w:hint="default" w:ascii="仿宋_GB2312" w:hAnsi="仿宋_GB2312" w:eastAsia="仿宋_GB2312" w:cs="仿宋_GB2312"/>
                <w:color w:val="auto"/>
                <w:sz w:val="32"/>
                <w:szCs w:val="32"/>
                <w:lang w:val="en-US"/>
              </w:rPr>
            </w:pPr>
            <w:r>
              <w:rPr>
                <w:rFonts w:hint="eastAsia" w:ascii="仿宋_GB2312" w:hAnsi="仿宋_GB2312" w:eastAsia="仿宋_GB2312" w:cs="仿宋_GB2312"/>
                <w:color w:val="auto"/>
                <w:kern w:val="2"/>
                <w:sz w:val="32"/>
                <w:szCs w:val="32"/>
                <w:lang w:val="en-US" w:eastAsia="zh-CN" w:bidi="ar-SA"/>
              </w:rPr>
              <w:t>投标报价得分=(评标基准价／投标报价)×30</w:t>
            </w:r>
          </w:p>
        </w:tc>
      </w:tr>
      <w:tr w14:paraId="6E44F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7" w:hRule="atLeast"/>
        </w:trPr>
        <w:tc>
          <w:tcPr>
            <w:tcW w:w="1506" w:type="dxa"/>
            <w:vMerge w:val="restart"/>
            <w:vAlign w:val="center"/>
          </w:tcPr>
          <w:p w14:paraId="181A9859">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（二）技术部分（</w:t>
            </w:r>
            <w:r>
              <w:rPr>
                <w:rFonts w:hint="eastAsia" w:ascii="仿宋_GB2312" w:hAnsi="仿宋_GB2312" w:eastAsia="仿宋_GB2312" w:cs="仿宋_GB2312"/>
                <w:color w:val="auto"/>
                <w:sz w:val="32"/>
                <w:szCs w:val="32"/>
                <w:lang w:val="en-US" w:eastAsia="zh-CN"/>
              </w:rPr>
              <w:t>50</w:t>
            </w:r>
            <w:r>
              <w:rPr>
                <w:rFonts w:hint="eastAsia" w:ascii="仿宋_GB2312" w:hAnsi="仿宋_GB2312" w:eastAsia="仿宋_GB2312" w:cs="仿宋_GB2312"/>
                <w:color w:val="auto"/>
                <w:sz w:val="32"/>
                <w:szCs w:val="32"/>
              </w:rPr>
              <w:t>分）</w:t>
            </w:r>
          </w:p>
        </w:tc>
        <w:tc>
          <w:tcPr>
            <w:tcW w:w="1913" w:type="dxa"/>
            <w:vAlign w:val="center"/>
          </w:tcPr>
          <w:p w14:paraId="1DB814A1">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1.项目实施方案（</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rPr>
              <w:t>分）</w:t>
            </w:r>
          </w:p>
        </w:tc>
        <w:tc>
          <w:tcPr>
            <w:tcW w:w="5639" w:type="dxa"/>
            <w:vAlign w:val="center"/>
          </w:tcPr>
          <w:p w14:paraId="5F1FD4BB">
            <w:pPr>
              <w:keepNext w:val="0"/>
              <w:keepLines w:val="0"/>
              <w:pageBreakBefore w:val="0"/>
              <w:widowControl w:val="0"/>
              <w:kinsoku/>
              <w:overflowPunct/>
              <w:topLinePunct w:val="0"/>
              <w:autoSpaceDE/>
              <w:autoSpaceDN/>
              <w:bidi w:val="0"/>
              <w:adjustRightInd/>
              <w:snapToGrid/>
              <w:spacing w:beforeLines="0" w:afterLines="0" w:line="400" w:lineRule="exact"/>
              <w:jc w:val="left"/>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lang w:eastAsia="zh-CN"/>
              </w:rPr>
              <w:t>一、</w:t>
            </w:r>
            <w:r>
              <w:rPr>
                <w:rFonts w:hint="eastAsia" w:ascii="黑体" w:hAnsi="黑体" w:eastAsia="黑体" w:cs="黑体"/>
                <w:b w:val="0"/>
                <w:bCs w:val="0"/>
                <w:sz w:val="32"/>
                <w:szCs w:val="32"/>
                <w:highlight w:val="none"/>
              </w:rPr>
              <w:t>评审内容</w:t>
            </w:r>
          </w:p>
          <w:p w14:paraId="00D26468">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投标人提供的项目实施方案包含但不限于</w:t>
            </w:r>
            <w:r>
              <w:rPr>
                <w:rFonts w:hint="eastAsia" w:ascii="仿宋_GB2312" w:hAnsi="仿宋_GB2312" w:eastAsia="仿宋_GB2312" w:cs="仿宋_GB2312"/>
                <w:color w:val="auto"/>
                <w:kern w:val="2"/>
                <w:sz w:val="32"/>
                <w:szCs w:val="32"/>
                <w:highlight w:val="none"/>
              </w:rPr>
              <w:t>：</w:t>
            </w:r>
          </w:p>
          <w:p w14:paraId="2D4122B1">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（一）</w:t>
            </w:r>
            <w:r>
              <w:rPr>
                <w:rFonts w:hint="eastAsia" w:ascii="仿宋_GB2312" w:hAnsi="仿宋_GB2312" w:eastAsia="仿宋_GB2312" w:cs="仿宋_GB2312"/>
                <w:color w:val="auto"/>
                <w:sz w:val="32"/>
                <w:szCs w:val="32"/>
                <w:highlight w:val="none"/>
              </w:rPr>
              <w:t>供货方案</w:t>
            </w:r>
            <w:r>
              <w:rPr>
                <w:rFonts w:hint="eastAsia" w:ascii="仿宋_GB2312" w:hAnsi="仿宋_GB2312" w:eastAsia="仿宋_GB2312" w:cs="仿宋_GB2312"/>
                <w:color w:val="auto"/>
                <w:sz w:val="32"/>
                <w:szCs w:val="32"/>
                <w:highlight w:val="none"/>
                <w:lang w:eastAsia="zh-CN"/>
              </w:rPr>
              <w:t>（包括供货周期）。</w:t>
            </w:r>
          </w:p>
          <w:p w14:paraId="20FDEA40">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（二）</w:t>
            </w:r>
            <w:r>
              <w:rPr>
                <w:rFonts w:hint="eastAsia" w:ascii="仿宋_GB2312" w:hAnsi="仿宋_GB2312" w:eastAsia="仿宋_GB2312" w:cs="仿宋_GB2312"/>
                <w:color w:val="auto"/>
                <w:sz w:val="32"/>
                <w:szCs w:val="32"/>
                <w:highlight w:val="none"/>
              </w:rPr>
              <w:t>质量保障措施</w:t>
            </w:r>
            <w:r>
              <w:rPr>
                <w:rFonts w:hint="eastAsia" w:ascii="仿宋_GB2312" w:hAnsi="仿宋_GB2312" w:eastAsia="仿宋_GB2312" w:cs="仿宋_GB2312"/>
                <w:color w:val="auto"/>
                <w:sz w:val="32"/>
                <w:szCs w:val="32"/>
                <w:highlight w:val="none"/>
                <w:lang w:eastAsia="zh-CN"/>
              </w:rPr>
              <w:t>。</w:t>
            </w:r>
          </w:p>
          <w:p w14:paraId="323D5A5C">
            <w:pPr>
              <w:pStyle w:val="8"/>
              <w:ind w:firstLine="0" w:firstLineChars="0"/>
              <w:jc w:val="both"/>
              <w:rPr>
                <w:rFonts w:hint="eastAsia"/>
                <w:lang w:eastAsia="zh-CN"/>
              </w:rPr>
            </w:pPr>
            <w:r>
              <w:rPr>
                <w:rFonts w:hint="eastAsia" w:ascii="仿宋_GB2312" w:hAnsi="仿宋_GB2312" w:eastAsia="仿宋_GB2312" w:cs="仿宋_GB2312"/>
                <w:color w:val="auto"/>
                <w:sz w:val="32"/>
                <w:szCs w:val="32"/>
                <w:highlight w:val="none"/>
                <w:lang w:eastAsia="zh-CN"/>
              </w:rPr>
              <w:t>（三）安装方案。</w:t>
            </w:r>
          </w:p>
          <w:p w14:paraId="7DD59F8A">
            <w:pPr>
              <w:keepNext w:val="0"/>
              <w:keepLines w:val="0"/>
              <w:pageBreakBefore w:val="0"/>
              <w:widowControl w:val="0"/>
              <w:kinsoku/>
              <w:overflowPunct/>
              <w:topLinePunct w:val="0"/>
              <w:autoSpaceDE/>
              <w:autoSpaceDN/>
              <w:bidi w:val="0"/>
              <w:adjustRightInd/>
              <w:snapToGrid/>
              <w:spacing w:beforeLines="0" w:afterLines="0" w:line="400" w:lineRule="exact"/>
              <w:jc w:val="left"/>
              <w:textAlignment w:val="auto"/>
              <w:rPr>
                <w:rFonts w:hint="eastAsia" w:ascii="黑体" w:hAnsi="黑体" w:eastAsia="黑体" w:cs="黑体"/>
                <w:b w:val="0"/>
                <w:bCs w:val="0"/>
                <w:kern w:val="2"/>
                <w:sz w:val="32"/>
                <w:szCs w:val="32"/>
                <w:highlight w:val="none"/>
                <w:lang w:val="en-US"/>
              </w:rPr>
            </w:pPr>
            <w:r>
              <w:rPr>
                <w:rFonts w:hint="eastAsia" w:ascii="黑体" w:hAnsi="黑体" w:eastAsia="黑体" w:cs="黑体"/>
                <w:b w:val="0"/>
                <w:bCs w:val="0"/>
                <w:sz w:val="32"/>
                <w:szCs w:val="32"/>
                <w:highlight w:val="none"/>
                <w:lang w:val="en-US" w:eastAsia="zh-CN"/>
              </w:rPr>
              <w:t>二、</w:t>
            </w:r>
            <w:r>
              <w:rPr>
                <w:rFonts w:hint="eastAsia" w:ascii="黑体" w:hAnsi="黑体" w:eastAsia="黑体" w:cs="黑体"/>
                <w:b w:val="0"/>
                <w:bCs w:val="0"/>
                <w:sz w:val="32"/>
                <w:szCs w:val="32"/>
                <w:highlight w:val="none"/>
              </w:rPr>
              <w:t>评分标准</w:t>
            </w:r>
          </w:p>
          <w:p w14:paraId="1A4B2253">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（一）</w:t>
            </w:r>
            <w:r>
              <w:rPr>
                <w:rFonts w:hint="eastAsia" w:ascii="仿宋_GB2312" w:hAnsi="仿宋_GB2312" w:eastAsia="仿宋_GB2312" w:cs="仿宋_GB2312"/>
                <w:color w:val="auto"/>
                <w:sz w:val="32"/>
                <w:szCs w:val="32"/>
                <w:highlight w:val="none"/>
              </w:rPr>
              <w:t>考察以上</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项内容，每满足一项得</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分，最高得</w:t>
            </w:r>
            <w:r>
              <w:rPr>
                <w:rFonts w:hint="eastAsia" w:ascii="仿宋_GB2312" w:hAnsi="仿宋_GB2312" w:eastAsia="仿宋_GB2312" w:cs="仿宋_GB2312"/>
                <w:color w:val="auto"/>
                <w:sz w:val="32"/>
                <w:szCs w:val="32"/>
                <w:highlight w:val="none"/>
                <w:lang w:val="en-US" w:eastAsia="zh-CN"/>
              </w:rPr>
              <w:t>12</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highlight w:val="none"/>
                <w:lang w:eastAsia="zh-CN"/>
              </w:rPr>
              <w:t>。</w:t>
            </w:r>
          </w:p>
          <w:p w14:paraId="2733CF01">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（二）</w:t>
            </w:r>
            <w:r>
              <w:rPr>
                <w:rFonts w:hint="eastAsia" w:ascii="仿宋_GB2312" w:hAnsi="仿宋_GB2312" w:eastAsia="仿宋_GB2312" w:cs="仿宋_GB2312"/>
                <w:color w:val="auto"/>
                <w:sz w:val="32"/>
                <w:szCs w:val="32"/>
                <w:highlight w:val="none"/>
              </w:rPr>
              <w:t>在此基础上，专家根据投标人的具体方案内容进一步评审</w:t>
            </w:r>
            <w:r>
              <w:rPr>
                <w:rFonts w:hint="eastAsia" w:ascii="仿宋_GB2312" w:hAnsi="仿宋_GB2312" w:eastAsia="仿宋_GB2312" w:cs="仿宋_GB2312"/>
                <w:color w:val="auto"/>
                <w:sz w:val="32"/>
                <w:szCs w:val="32"/>
                <w:highlight w:val="none"/>
                <w:lang w:eastAsia="zh-CN"/>
              </w:rPr>
              <w:t>。</w:t>
            </w:r>
          </w:p>
          <w:p w14:paraId="47EE6A52">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项目供货方案详细完整，项目质量保障措施全面、具体而又有明确安排的实施方案，评价为优得</w:t>
            </w: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highlight w:val="none"/>
                <w:lang w:eastAsia="zh-CN"/>
              </w:rPr>
              <w:t>。</w:t>
            </w:r>
          </w:p>
          <w:p w14:paraId="323FE1E4">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项目供货方案详细完整，项目保障措施较为全面、具体，存在少部分不明确之处的实施方案，评价为良得</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highlight w:val="none"/>
                <w:lang w:eastAsia="zh-CN"/>
              </w:rPr>
              <w:t>。</w:t>
            </w:r>
          </w:p>
          <w:p w14:paraId="166DAF23">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3</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项目供货方案不够完整，项目保障措施不够全面、具体，实施方案明确性一般，评价为中得</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highlight w:val="none"/>
                <w:lang w:eastAsia="zh-CN"/>
              </w:rPr>
              <w:t>。</w:t>
            </w:r>
          </w:p>
          <w:p w14:paraId="0C93F1DC">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4</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项目供货方案不明确，项目保障措施较差的，评价为差不得分。</w:t>
            </w:r>
          </w:p>
          <w:p w14:paraId="0C58F5C8">
            <w:pPr>
              <w:keepNext w:val="0"/>
              <w:keepLines w:val="0"/>
              <w:pageBreakBefore w:val="0"/>
              <w:widowControl/>
              <w:kinsoku/>
              <w:wordWrap w:val="0"/>
              <w:overflowPunct/>
              <w:topLinePunct w:val="0"/>
              <w:autoSpaceDE/>
              <w:autoSpaceDN/>
              <w:bidi w:val="0"/>
              <w:adjustRightInd/>
              <w:snapToGrid/>
              <w:spacing w:beforeLines="0" w:afterLines="0" w:line="400" w:lineRule="exact"/>
              <w:ind w:right="0"/>
              <w:jc w:val="left"/>
              <w:textAlignment w:val="top"/>
              <w:rPr>
                <w:rFonts w:hint="eastAsia" w:ascii="宋体" w:hAnsi="宋体" w:eastAsia="宋体" w:cs="宋体"/>
                <w:color w:val="auto"/>
                <w:kern w:val="0"/>
                <w:sz w:val="32"/>
                <w:szCs w:val="32"/>
                <w:highlight w:val="none"/>
              </w:rPr>
            </w:pPr>
            <w:r>
              <w:rPr>
                <w:rFonts w:hint="eastAsia" w:ascii="仿宋_GB2312" w:hAnsi="仿宋_GB2312" w:eastAsia="仿宋_GB2312" w:cs="仿宋_GB2312"/>
                <w:color w:val="auto"/>
                <w:sz w:val="32"/>
                <w:szCs w:val="32"/>
                <w:highlight w:val="none"/>
                <w:lang w:eastAsia="zh-CN"/>
              </w:rPr>
              <w:t>本</w:t>
            </w:r>
            <w:r>
              <w:rPr>
                <w:rFonts w:hint="eastAsia" w:ascii="仿宋_GB2312" w:hAnsi="仿宋_GB2312" w:eastAsia="仿宋_GB2312" w:cs="仿宋_GB2312"/>
                <w:color w:val="auto"/>
                <w:sz w:val="32"/>
                <w:szCs w:val="32"/>
                <w:highlight w:val="none"/>
              </w:rPr>
              <w:t>项最高累计</w:t>
            </w:r>
            <w:r>
              <w:rPr>
                <w:rFonts w:hint="eastAsia" w:ascii="仿宋_GB2312" w:hAnsi="仿宋_GB2312" w:eastAsia="仿宋_GB2312" w:cs="仿宋_GB2312"/>
                <w:color w:val="auto"/>
                <w:sz w:val="32"/>
                <w:szCs w:val="32"/>
                <w:highlight w:val="none"/>
                <w:lang w:val="en-US" w:eastAsia="zh-CN"/>
              </w:rPr>
              <w:t>20</w:t>
            </w:r>
            <w:r>
              <w:rPr>
                <w:rFonts w:hint="eastAsia" w:ascii="仿宋_GB2312" w:hAnsi="仿宋_GB2312" w:eastAsia="仿宋_GB2312" w:cs="仿宋_GB2312"/>
                <w:color w:val="auto"/>
                <w:sz w:val="32"/>
                <w:szCs w:val="32"/>
                <w:highlight w:val="none"/>
              </w:rPr>
              <w:t>分。</w:t>
            </w:r>
          </w:p>
        </w:tc>
      </w:tr>
      <w:tr w14:paraId="6F8E8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506" w:type="dxa"/>
            <w:vMerge w:val="continue"/>
            <w:vAlign w:val="center"/>
          </w:tcPr>
          <w:p w14:paraId="4710087E">
            <w:pPr>
              <w:widowControl/>
              <w:wordWrap w:val="0"/>
              <w:spacing w:beforeLines="0" w:afterLines="0" w:line="400" w:lineRule="exact"/>
              <w:jc w:val="left"/>
              <w:textAlignment w:val="top"/>
              <w:rPr>
                <w:rFonts w:hint="eastAsia" w:ascii="宋体" w:hAnsi="宋体" w:eastAsia="宋体" w:cs="Times New Roman"/>
                <w:color w:val="auto"/>
                <w:sz w:val="32"/>
                <w:szCs w:val="32"/>
              </w:rPr>
            </w:pPr>
          </w:p>
        </w:tc>
        <w:tc>
          <w:tcPr>
            <w:tcW w:w="1913" w:type="dxa"/>
            <w:vAlign w:val="center"/>
          </w:tcPr>
          <w:p w14:paraId="08D1170B">
            <w:pPr>
              <w:widowControl/>
              <w:wordWrap w:val="0"/>
              <w:spacing w:beforeLines="0" w:afterLines="0" w:line="400" w:lineRule="exact"/>
              <w:jc w:val="left"/>
              <w:textAlignment w:val="top"/>
              <w:rPr>
                <w:rFonts w:hint="eastAsia" w:ascii="宋体" w:hAnsi="宋体" w:eastAsia="宋体" w:cs="Times New Roman"/>
                <w:color w:val="auto"/>
                <w:sz w:val="32"/>
                <w:szCs w:val="32"/>
              </w:rPr>
            </w:pPr>
            <w:r>
              <w:rPr>
                <w:rFonts w:hint="eastAsia" w:ascii="仿宋_GB2312" w:hAnsi="仿宋_GB2312" w:eastAsia="仿宋_GB2312" w:cs="仿宋_GB2312"/>
                <w:color w:val="auto"/>
                <w:sz w:val="32"/>
                <w:szCs w:val="32"/>
              </w:rPr>
              <w:t>2.售后服务（</w:t>
            </w:r>
            <w:r>
              <w:rPr>
                <w:rFonts w:hint="eastAsia" w:ascii="仿宋_GB2312" w:hAnsi="仿宋_GB2312" w:eastAsia="仿宋_GB2312" w:cs="仿宋_GB2312"/>
                <w:color w:val="auto"/>
                <w:sz w:val="32"/>
                <w:szCs w:val="32"/>
                <w:lang w:val="en-US" w:eastAsia="zh-CN"/>
              </w:rPr>
              <w:t>15</w:t>
            </w:r>
            <w:r>
              <w:rPr>
                <w:rFonts w:hint="eastAsia" w:ascii="仿宋_GB2312" w:hAnsi="仿宋_GB2312" w:eastAsia="仿宋_GB2312" w:cs="仿宋_GB2312"/>
                <w:color w:val="auto"/>
                <w:sz w:val="32"/>
                <w:szCs w:val="32"/>
              </w:rPr>
              <w:t>分）</w:t>
            </w:r>
          </w:p>
        </w:tc>
        <w:tc>
          <w:tcPr>
            <w:tcW w:w="5639" w:type="dxa"/>
            <w:vAlign w:val="center"/>
          </w:tcPr>
          <w:p w14:paraId="7E36B9B6">
            <w:pPr>
              <w:keepNext w:val="0"/>
              <w:keepLines w:val="0"/>
              <w:pageBreakBefore w:val="0"/>
              <w:widowControl w:val="0"/>
              <w:kinsoku/>
              <w:overflowPunct/>
              <w:topLinePunct w:val="0"/>
              <w:autoSpaceDE/>
              <w:autoSpaceDN/>
              <w:bidi w:val="0"/>
              <w:adjustRightInd/>
              <w:snapToGrid/>
              <w:spacing w:beforeLines="0" w:afterLines="0" w:line="400" w:lineRule="exact"/>
              <w:jc w:val="left"/>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eastAsia="zh-CN"/>
              </w:rPr>
              <w:t>一、</w:t>
            </w:r>
            <w:r>
              <w:rPr>
                <w:rFonts w:hint="eastAsia" w:ascii="黑体" w:hAnsi="黑体" w:eastAsia="黑体" w:cs="黑体"/>
                <w:b w:val="0"/>
                <w:bCs w:val="0"/>
                <w:sz w:val="32"/>
                <w:szCs w:val="32"/>
                <w:highlight w:val="none"/>
              </w:rPr>
              <w:t>评审内容</w:t>
            </w:r>
          </w:p>
          <w:p w14:paraId="75483854">
            <w:pPr>
              <w:keepNext w:val="0"/>
              <w:keepLines w:val="0"/>
              <w:pageBreakBefore w:val="0"/>
              <w:widowControl/>
              <w:kinsoku/>
              <w:wordWrap w:val="0"/>
              <w:overflowPunct/>
              <w:topLinePunct w:val="0"/>
              <w:bidi w:val="0"/>
              <w:adjustRightInd/>
              <w:snapToGrid/>
              <w:spacing w:beforeLines="0" w:afterLines="0" w:line="400" w:lineRule="exact"/>
              <w:jc w:val="left"/>
              <w:textAlignment w:val="top"/>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sz w:val="32"/>
                <w:szCs w:val="32"/>
              </w:rPr>
              <w:t>在满足招标文件要求的基础上，根据交货期、免费质保期、维修服务</w:t>
            </w:r>
            <w:r>
              <w:rPr>
                <w:rFonts w:hint="eastAsia" w:ascii="仿宋_GB2312" w:hAnsi="仿宋_GB2312" w:eastAsia="仿宋_GB2312" w:cs="仿宋_GB2312"/>
                <w:color w:val="auto"/>
                <w:sz w:val="32"/>
                <w:szCs w:val="32"/>
                <w:lang w:eastAsia="zh-CN"/>
              </w:rPr>
              <w:t>等</w:t>
            </w:r>
            <w:r>
              <w:rPr>
                <w:rFonts w:hint="eastAsia" w:ascii="仿宋_GB2312" w:hAnsi="仿宋_GB2312" w:eastAsia="仿宋_GB2312" w:cs="仿宋_GB2312"/>
                <w:color w:val="auto"/>
                <w:sz w:val="32"/>
                <w:szCs w:val="32"/>
              </w:rPr>
              <w:t>情况</w:t>
            </w:r>
            <w:r>
              <w:rPr>
                <w:rFonts w:hint="eastAsia" w:ascii="仿宋_GB2312" w:hAnsi="仿宋_GB2312" w:eastAsia="仿宋_GB2312" w:cs="仿宋_GB2312"/>
                <w:color w:val="auto"/>
                <w:kern w:val="2"/>
                <w:sz w:val="32"/>
                <w:szCs w:val="32"/>
                <w:highlight w:val="none"/>
              </w:rPr>
              <w:t>：</w:t>
            </w:r>
          </w:p>
          <w:p w14:paraId="6C76AF5E">
            <w:pPr>
              <w:keepNext w:val="0"/>
              <w:keepLines w:val="0"/>
              <w:pageBreakBefore w:val="0"/>
              <w:widowControl/>
              <w:kinsoku/>
              <w:wordWrap w:val="0"/>
              <w:overflowPunct/>
              <w:topLinePunct w:val="0"/>
              <w:bidi w:val="0"/>
              <w:adjustRightInd/>
              <w:snapToGrid/>
              <w:spacing w:beforeLines="0" w:afterLines="0" w:line="400" w:lineRule="exact"/>
              <w:jc w:val="left"/>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（一）</w:t>
            </w:r>
            <w:r>
              <w:rPr>
                <w:rFonts w:hint="eastAsia" w:ascii="仿宋_GB2312" w:hAnsi="仿宋_GB2312" w:eastAsia="仿宋_GB2312" w:cs="仿宋_GB2312"/>
                <w:color w:val="auto"/>
                <w:sz w:val="32"/>
                <w:szCs w:val="32"/>
              </w:rPr>
              <w:t>售后服务方案</w:t>
            </w:r>
            <w:r>
              <w:rPr>
                <w:rFonts w:hint="eastAsia" w:ascii="仿宋_GB2312" w:hAnsi="仿宋_GB2312" w:eastAsia="仿宋_GB2312" w:cs="仿宋_GB2312"/>
                <w:color w:val="auto"/>
                <w:sz w:val="32"/>
                <w:szCs w:val="32"/>
                <w:lang w:val="zh-CN"/>
              </w:rPr>
              <w:t>。</w:t>
            </w:r>
          </w:p>
          <w:p w14:paraId="2C526FD3">
            <w:pPr>
              <w:keepNext w:val="0"/>
              <w:keepLines w:val="0"/>
              <w:pageBreakBefore w:val="0"/>
              <w:widowControl/>
              <w:kinsoku/>
              <w:wordWrap w:val="0"/>
              <w:overflowPunct/>
              <w:topLinePunct w:val="0"/>
              <w:bidi w:val="0"/>
              <w:adjustRightInd/>
              <w:snapToGrid/>
              <w:spacing w:beforeLines="0" w:afterLines="0" w:line="400" w:lineRule="exact"/>
              <w:jc w:val="left"/>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（一）</w:t>
            </w:r>
            <w:r>
              <w:rPr>
                <w:rFonts w:hint="eastAsia" w:ascii="仿宋_GB2312" w:hAnsi="仿宋_GB2312" w:eastAsia="仿宋_GB2312" w:cs="仿宋_GB2312"/>
                <w:color w:val="auto"/>
                <w:sz w:val="32"/>
                <w:szCs w:val="32"/>
                <w:lang w:val="en-US" w:eastAsia="zh-CN"/>
              </w:rPr>
              <w:t>提供</w:t>
            </w:r>
            <w:r>
              <w:rPr>
                <w:rFonts w:hint="eastAsia" w:ascii="仿宋_GB2312" w:hAnsi="仿宋_GB2312" w:eastAsia="仿宋_GB2312" w:cs="仿宋_GB2312"/>
                <w:color w:val="auto"/>
                <w:sz w:val="32"/>
                <w:szCs w:val="32"/>
              </w:rPr>
              <w:t>人员安排</w:t>
            </w:r>
            <w:r>
              <w:rPr>
                <w:rFonts w:hint="eastAsia" w:ascii="仿宋_GB2312" w:hAnsi="仿宋_GB2312" w:eastAsia="仿宋_GB2312" w:cs="仿宋_GB2312"/>
                <w:color w:val="auto"/>
                <w:sz w:val="32"/>
                <w:szCs w:val="32"/>
                <w:lang w:val="en-US" w:eastAsia="zh-CN"/>
              </w:rPr>
              <w:t>方案</w:t>
            </w:r>
            <w:r>
              <w:rPr>
                <w:rFonts w:hint="eastAsia" w:ascii="仿宋_GB2312" w:hAnsi="仿宋_GB2312" w:eastAsia="仿宋_GB2312" w:cs="仿宋_GB2312"/>
                <w:color w:val="auto"/>
                <w:sz w:val="32"/>
                <w:szCs w:val="32"/>
                <w:lang w:val="zh-CN"/>
              </w:rPr>
              <w:t>。</w:t>
            </w:r>
          </w:p>
          <w:p w14:paraId="0980AA6C">
            <w:pPr>
              <w:keepNext w:val="0"/>
              <w:keepLines w:val="0"/>
              <w:pageBreakBefore w:val="0"/>
              <w:widowControl w:val="0"/>
              <w:kinsoku/>
              <w:overflowPunct/>
              <w:topLinePunct w:val="0"/>
              <w:autoSpaceDE/>
              <w:autoSpaceDN/>
              <w:bidi w:val="0"/>
              <w:adjustRightInd/>
              <w:snapToGrid/>
              <w:spacing w:beforeLines="0" w:afterLines="0" w:line="400" w:lineRule="exact"/>
              <w:jc w:val="left"/>
              <w:textAlignment w:val="auto"/>
              <w:rPr>
                <w:rFonts w:hint="eastAsia" w:ascii="黑体" w:hAnsi="黑体" w:eastAsia="黑体" w:cs="黑体"/>
                <w:b w:val="0"/>
                <w:bCs w:val="0"/>
                <w:kern w:val="2"/>
                <w:sz w:val="32"/>
                <w:szCs w:val="32"/>
                <w:highlight w:val="none"/>
                <w:lang w:val="en-US"/>
              </w:rPr>
            </w:pPr>
            <w:r>
              <w:rPr>
                <w:rFonts w:hint="eastAsia" w:ascii="黑体" w:hAnsi="黑体" w:eastAsia="黑体" w:cs="黑体"/>
                <w:b w:val="0"/>
                <w:bCs w:val="0"/>
                <w:sz w:val="32"/>
                <w:szCs w:val="32"/>
                <w:highlight w:val="none"/>
                <w:lang w:val="en-US" w:eastAsia="zh-CN"/>
              </w:rPr>
              <w:t>二、</w:t>
            </w:r>
            <w:r>
              <w:rPr>
                <w:rFonts w:hint="eastAsia" w:ascii="黑体" w:hAnsi="黑体" w:eastAsia="黑体" w:cs="黑体"/>
                <w:b w:val="0"/>
                <w:bCs w:val="0"/>
                <w:sz w:val="32"/>
                <w:szCs w:val="32"/>
                <w:highlight w:val="none"/>
              </w:rPr>
              <w:t>评分标准</w:t>
            </w:r>
          </w:p>
          <w:p w14:paraId="66545795">
            <w:pPr>
              <w:keepNext w:val="0"/>
              <w:keepLines w:val="0"/>
              <w:pageBreakBefore w:val="0"/>
              <w:widowControl/>
              <w:kinsoku/>
              <w:wordWrap w:val="0"/>
              <w:overflowPunct/>
              <w:topLinePunct w:val="0"/>
              <w:autoSpaceDE/>
              <w:autoSpaceDN/>
              <w:bidi w:val="0"/>
              <w:adjustRightInd/>
              <w:snapToGrid/>
              <w:spacing w:beforeLines="0" w:afterLines="0" w:line="400" w:lineRule="exact"/>
              <w:jc w:val="left"/>
              <w:textAlignment w:val="top"/>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（一）</w:t>
            </w:r>
            <w:r>
              <w:rPr>
                <w:rFonts w:hint="eastAsia" w:ascii="仿宋_GB2312" w:hAnsi="仿宋_GB2312" w:eastAsia="仿宋_GB2312" w:cs="仿宋_GB2312"/>
                <w:color w:val="auto"/>
                <w:sz w:val="32"/>
                <w:szCs w:val="32"/>
                <w:highlight w:val="none"/>
                <w:lang w:val="en-US" w:eastAsia="zh-CN"/>
              </w:rPr>
              <w:t>上述一项得5分，最高得10分。</w:t>
            </w:r>
          </w:p>
          <w:p w14:paraId="01F487C9">
            <w:pPr>
              <w:keepNext w:val="0"/>
              <w:keepLines w:val="0"/>
              <w:pageBreakBefore w:val="0"/>
              <w:widowControl/>
              <w:kinsoku/>
              <w:wordWrap w:val="0"/>
              <w:overflowPunct/>
              <w:topLinePunct w:val="0"/>
              <w:autoSpaceDE/>
              <w:autoSpaceDN/>
              <w:bidi w:val="0"/>
              <w:adjustRightInd/>
              <w:snapToGrid/>
              <w:spacing w:beforeLines="0" w:afterLines="0" w:line="400" w:lineRule="exact"/>
              <w:jc w:val="left"/>
              <w:textAlignment w:val="top"/>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（二）在此基础上，专家根据各供应商的具体响应内容按照量化的评审因素指标进一步评审</w:t>
            </w:r>
            <w:r>
              <w:rPr>
                <w:rFonts w:hint="eastAsia" w:ascii="仿宋_GB2312" w:hAnsi="仿宋_GB2312" w:eastAsia="仿宋_GB2312" w:cs="仿宋_GB2312"/>
                <w:color w:val="auto"/>
                <w:kern w:val="2"/>
                <w:sz w:val="32"/>
                <w:szCs w:val="32"/>
                <w:highlight w:val="none"/>
              </w:rPr>
              <w:t>：</w:t>
            </w:r>
          </w:p>
          <w:p w14:paraId="044FDC00">
            <w:pPr>
              <w:keepNext w:val="0"/>
              <w:keepLines w:val="0"/>
              <w:pageBreakBefore w:val="0"/>
              <w:widowControl/>
              <w:kinsoku/>
              <w:wordWrap w:val="0"/>
              <w:overflowPunct/>
              <w:topLinePunct w:val="0"/>
              <w:bidi w:val="0"/>
              <w:adjustRightInd/>
              <w:snapToGrid/>
              <w:spacing w:beforeLines="0" w:afterLines="0" w:line="400" w:lineRule="exact"/>
              <w:jc w:val="left"/>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color w:val="auto"/>
                <w:sz w:val="32"/>
                <w:szCs w:val="32"/>
              </w:rPr>
              <w:t>明确的售后服务方案</w:t>
            </w:r>
            <w:r>
              <w:rPr>
                <w:rFonts w:hint="eastAsia" w:ascii="仿宋_GB2312" w:hAnsi="仿宋_GB2312" w:eastAsia="仿宋_GB2312" w:cs="仿宋_GB2312"/>
                <w:color w:val="auto"/>
                <w:sz w:val="32"/>
                <w:szCs w:val="32"/>
                <w:lang w:eastAsia="zh-CN"/>
              </w:rPr>
              <w:t>和</w:t>
            </w:r>
            <w:r>
              <w:rPr>
                <w:rFonts w:hint="eastAsia" w:ascii="仿宋_GB2312" w:hAnsi="仿宋_GB2312" w:eastAsia="仿宋_GB2312" w:cs="仿宋_GB2312"/>
                <w:color w:val="auto"/>
                <w:sz w:val="32"/>
                <w:szCs w:val="32"/>
              </w:rPr>
              <w:t>人员安排</w:t>
            </w:r>
            <w:r>
              <w:rPr>
                <w:rFonts w:hint="eastAsia" w:ascii="仿宋_GB2312" w:hAnsi="仿宋_GB2312" w:eastAsia="仿宋_GB2312" w:cs="仿宋_GB2312"/>
                <w:color w:val="auto"/>
                <w:sz w:val="32"/>
                <w:szCs w:val="32"/>
                <w:lang w:val="en-US" w:eastAsia="zh-CN"/>
              </w:rPr>
              <w:t>方案且可操作性强，</w:t>
            </w:r>
            <w:r>
              <w:rPr>
                <w:rFonts w:hint="eastAsia" w:ascii="仿宋_GB2312" w:hAnsi="仿宋_GB2312" w:eastAsia="仿宋_GB2312" w:cs="仿宋_GB2312"/>
                <w:color w:val="auto"/>
                <w:sz w:val="32"/>
                <w:szCs w:val="32"/>
              </w:rPr>
              <w:t>得</w:t>
            </w: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rPr>
              <w:t>分。</w:t>
            </w:r>
          </w:p>
          <w:p w14:paraId="3850B6EA">
            <w:pPr>
              <w:keepNext w:val="0"/>
              <w:keepLines w:val="0"/>
              <w:pageBreakBefore w:val="0"/>
              <w:widowControl/>
              <w:kinsoku/>
              <w:wordWrap w:val="0"/>
              <w:overflowPunct/>
              <w:topLinePunct w:val="0"/>
              <w:bidi w:val="0"/>
              <w:adjustRightInd/>
              <w:snapToGrid/>
              <w:spacing w:beforeLines="0" w:afterLines="0" w:line="400" w:lineRule="exact"/>
              <w:jc w:val="left"/>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color w:val="auto"/>
                <w:sz w:val="32"/>
                <w:szCs w:val="32"/>
              </w:rPr>
              <w:t>售后服务方案</w:t>
            </w:r>
            <w:r>
              <w:rPr>
                <w:rFonts w:hint="eastAsia" w:ascii="仿宋_GB2312" w:hAnsi="仿宋_GB2312" w:eastAsia="仿宋_GB2312" w:cs="仿宋_GB2312"/>
                <w:color w:val="auto"/>
                <w:sz w:val="32"/>
                <w:szCs w:val="32"/>
                <w:lang w:eastAsia="zh-CN"/>
              </w:rPr>
              <w:t>和</w:t>
            </w:r>
            <w:r>
              <w:rPr>
                <w:rFonts w:hint="eastAsia" w:ascii="仿宋_GB2312" w:hAnsi="仿宋_GB2312" w:eastAsia="仿宋_GB2312" w:cs="仿宋_GB2312"/>
                <w:color w:val="auto"/>
                <w:sz w:val="32"/>
                <w:szCs w:val="32"/>
              </w:rPr>
              <w:t>人员安排</w:t>
            </w:r>
            <w:r>
              <w:rPr>
                <w:rFonts w:hint="eastAsia" w:ascii="仿宋_GB2312" w:hAnsi="仿宋_GB2312" w:eastAsia="仿宋_GB2312" w:cs="仿宋_GB2312"/>
                <w:color w:val="auto"/>
                <w:sz w:val="32"/>
                <w:szCs w:val="32"/>
                <w:lang w:val="en-US" w:eastAsia="zh-CN"/>
              </w:rPr>
              <w:t>方案</w:t>
            </w:r>
            <w:r>
              <w:rPr>
                <w:rFonts w:hint="eastAsia" w:ascii="仿宋_GB2312" w:hAnsi="仿宋_GB2312" w:eastAsia="仿宋_GB2312" w:cs="仿宋_GB2312"/>
                <w:color w:val="auto"/>
                <w:sz w:val="32"/>
                <w:szCs w:val="32"/>
              </w:rPr>
              <w:t>不全面</w:t>
            </w:r>
            <w:r>
              <w:rPr>
                <w:rFonts w:hint="eastAsia" w:ascii="仿宋_GB2312" w:hAnsi="仿宋_GB2312" w:eastAsia="仿宋_GB2312" w:cs="仿宋_GB2312"/>
                <w:color w:val="auto"/>
                <w:sz w:val="32"/>
                <w:szCs w:val="32"/>
                <w:lang w:val="en-US" w:eastAsia="zh-CN"/>
              </w:rPr>
              <w:t>且可操作性一般，</w:t>
            </w:r>
            <w:r>
              <w:rPr>
                <w:rFonts w:hint="eastAsia" w:ascii="仿宋_GB2312" w:hAnsi="仿宋_GB2312" w:eastAsia="仿宋_GB2312" w:cs="仿宋_GB2312"/>
                <w:color w:val="auto"/>
                <w:sz w:val="32"/>
                <w:szCs w:val="32"/>
              </w:rPr>
              <w:t>得</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分。</w:t>
            </w:r>
          </w:p>
          <w:p w14:paraId="7C3EF085">
            <w:pPr>
              <w:keepNext w:val="0"/>
              <w:keepLines w:val="0"/>
              <w:pageBreakBefore w:val="0"/>
              <w:widowControl/>
              <w:kinsoku/>
              <w:wordWrap w:val="0"/>
              <w:overflowPunct/>
              <w:topLinePunct w:val="0"/>
              <w:bidi w:val="0"/>
              <w:adjustRightInd/>
              <w:snapToGrid/>
              <w:spacing w:beforeLines="0" w:afterLines="0" w:line="400" w:lineRule="exact"/>
              <w:jc w:val="left"/>
              <w:textAlignment w:val="top"/>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val="0"/>
                <w:bCs w:val="0"/>
                <w:color w:val="auto"/>
                <w:sz w:val="32"/>
                <w:szCs w:val="32"/>
                <w:lang w:val="en-US" w:eastAsia="zh-CN"/>
              </w:rPr>
              <w:t>3.</w:t>
            </w:r>
            <w:r>
              <w:rPr>
                <w:rFonts w:hint="eastAsia" w:ascii="仿宋_GB2312" w:hAnsi="仿宋_GB2312" w:eastAsia="仿宋_GB2312" w:cs="仿宋_GB2312"/>
                <w:color w:val="auto"/>
                <w:sz w:val="32"/>
                <w:szCs w:val="32"/>
              </w:rPr>
              <w:t>未提供售后服务方案或不满足招标文件要求不</w:t>
            </w:r>
            <w:r>
              <w:rPr>
                <w:rFonts w:hint="eastAsia" w:ascii="仿宋_GB2312" w:hAnsi="仿宋_GB2312" w:eastAsia="仿宋_GB2312" w:cs="仿宋_GB2312"/>
                <w:color w:val="auto"/>
                <w:sz w:val="32"/>
                <w:szCs w:val="32"/>
                <w:lang w:val="en-US" w:eastAsia="zh-CN"/>
              </w:rPr>
              <w:t>得</w:t>
            </w:r>
            <w:r>
              <w:rPr>
                <w:rFonts w:hint="eastAsia" w:ascii="仿宋_GB2312" w:hAnsi="仿宋_GB2312" w:eastAsia="仿宋_GB2312" w:cs="仿宋_GB2312"/>
                <w:color w:val="auto"/>
                <w:kern w:val="2"/>
                <w:sz w:val="32"/>
                <w:szCs w:val="32"/>
              </w:rPr>
              <w:t>分</w:t>
            </w:r>
            <w:r>
              <w:rPr>
                <w:rFonts w:hint="eastAsia" w:ascii="仿宋_GB2312" w:hAnsi="仿宋_GB2312" w:eastAsia="仿宋_GB2312" w:cs="仿宋_GB2312"/>
                <w:color w:val="auto"/>
                <w:kern w:val="2"/>
                <w:sz w:val="32"/>
                <w:szCs w:val="32"/>
                <w:lang w:eastAsia="zh-CN"/>
              </w:rPr>
              <w:t>。</w:t>
            </w:r>
          </w:p>
          <w:p w14:paraId="392FAD0C">
            <w:pPr>
              <w:keepNext w:val="0"/>
              <w:keepLines w:val="0"/>
              <w:pageBreakBefore w:val="0"/>
              <w:widowControl/>
              <w:kinsoku/>
              <w:wordWrap w:val="0"/>
              <w:overflowPunct/>
              <w:topLinePunct w:val="0"/>
              <w:autoSpaceDE/>
              <w:autoSpaceDN/>
              <w:bidi w:val="0"/>
              <w:adjustRightInd/>
              <w:snapToGrid/>
              <w:spacing w:beforeLines="0" w:afterLines="0" w:line="400" w:lineRule="exact"/>
              <w:ind w:right="0"/>
              <w:jc w:val="left"/>
              <w:textAlignment w:val="top"/>
              <w:rPr>
                <w:rFonts w:hint="eastAsia" w:ascii="宋体" w:hAnsi="宋体" w:eastAsia="宋体" w:cs="宋体"/>
                <w:color w:val="auto"/>
                <w:kern w:val="0"/>
                <w:sz w:val="32"/>
                <w:szCs w:val="32"/>
                <w:highlight w:val="none"/>
              </w:rPr>
            </w:pPr>
          </w:p>
        </w:tc>
      </w:tr>
      <w:tr w14:paraId="76B1D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506" w:type="dxa"/>
            <w:vAlign w:val="center"/>
          </w:tcPr>
          <w:p w14:paraId="77A063C1">
            <w:pPr>
              <w:widowControl/>
              <w:wordWrap w:val="0"/>
              <w:spacing w:beforeLines="0" w:afterLines="0" w:line="400" w:lineRule="exact"/>
              <w:jc w:val="left"/>
              <w:textAlignment w:val="top"/>
              <w:rPr>
                <w:rFonts w:hint="eastAsia" w:ascii="宋体" w:hAnsi="宋体" w:eastAsia="宋体" w:cs="Times New Roman"/>
                <w:color w:val="auto"/>
                <w:sz w:val="32"/>
                <w:szCs w:val="32"/>
              </w:rPr>
            </w:pPr>
          </w:p>
        </w:tc>
        <w:tc>
          <w:tcPr>
            <w:tcW w:w="1913" w:type="dxa"/>
            <w:shd w:val="clear" w:color="auto" w:fill="auto"/>
            <w:vAlign w:val="center"/>
          </w:tcPr>
          <w:p w14:paraId="5279591B">
            <w:pPr>
              <w:widowControl/>
              <w:wordWrap w:val="0"/>
              <w:spacing w:beforeLines="0" w:afterLines="0" w:line="400" w:lineRule="exact"/>
              <w:jc w:val="left"/>
              <w:textAlignment w:val="top"/>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kern w:val="2"/>
                <w:sz w:val="32"/>
                <w:szCs w:val="32"/>
                <w:lang w:val="en-US" w:eastAsia="zh-CN" w:bidi="ar-SA"/>
              </w:rPr>
              <w:t>质量保障方案</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15</w:t>
            </w:r>
            <w:r>
              <w:rPr>
                <w:rFonts w:hint="eastAsia" w:ascii="仿宋_GB2312" w:hAnsi="仿宋_GB2312" w:eastAsia="仿宋_GB2312" w:cs="仿宋_GB2312"/>
                <w:color w:val="auto"/>
                <w:sz w:val="32"/>
                <w:szCs w:val="32"/>
              </w:rPr>
              <w:t>分）</w:t>
            </w:r>
          </w:p>
        </w:tc>
        <w:tc>
          <w:tcPr>
            <w:tcW w:w="5639" w:type="dxa"/>
            <w:shd w:val="clear" w:color="auto" w:fill="auto"/>
            <w:vAlign w:val="center"/>
          </w:tcPr>
          <w:p w14:paraId="7BE681C3">
            <w:pPr>
              <w:keepNext w:val="0"/>
              <w:keepLines w:val="0"/>
              <w:pageBreakBefore w:val="0"/>
              <w:widowControl w:val="0"/>
              <w:kinsoku/>
              <w:overflowPunct/>
              <w:topLinePunct w:val="0"/>
              <w:autoSpaceDE/>
              <w:autoSpaceDN/>
              <w:bidi w:val="0"/>
              <w:adjustRightInd/>
              <w:snapToGrid/>
              <w:spacing w:beforeLines="0" w:afterLines="0" w:line="400" w:lineRule="exact"/>
              <w:jc w:val="left"/>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eastAsia="zh-CN"/>
              </w:rPr>
              <w:t>一、</w:t>
            </w:r>
            <w:r>
              <w:rPr>
                <w:rFonts w:hint="eastAsia" w:ascii="仿宋_GB2312" w:hAnsi="仿宋_GB2312" w:eastAsia="仿宋_GB2312" w:cs="仿宋_GB2312"/>
                <w:b w:val="0"/>
                <w:bCs w:val="0"/>
                <w:sz w:val="32"/>
                <w:szCs w:val="32"/>
                <w:highlight w:val="none"/>
              </w:rPr>
              <w:t>评审内容</w:t>
            </w:r>
          </w:p>
          <w:p w14:paraId="6C4DA32F">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投标人提供针对本项目的质量保障方案，内容包含但不限于</w:t>
            </w:r>
            <w:r>
              <w:rPr>
                <w:rFonts w:hint="eastAsia" w:ascii="仿宋_GB2312" w:hAnsi="仿宋_GB2312" w:eastAsia="仿宋_GB2312" w:cs="仿宋_GB2312"/>
                <w:color w:val="auto"/>
                <w:kern w:val="2"/>
                <w:sz w:val="32"/>
                <w:szCs w:val="32"/>
                <w:highlight w:val="none"/>
              </w:rPr>
              <w:t>：</w:t>
            </w:r>
          </w:p>
          <w:p w14:paraId="7BBFA5E0">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（一）质量保障体系。</w:t>
            </w:r>
          </w:p>
          <w:p w14:paraId="36A39062">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（二）质量保障措施。</w:t>
            </w:r>
          </w:p>
          <w:p w14:paraId="47B24C98">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每提供以上一项得</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分，全部提供得</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未提供不得分</w:t>
            </w:r>
            <w:r>
              <w:rPr>
                <w:rFonts w:hint="eastAsia" w:ascii="仿宋_GB2312" w:hAnsi="仿宋_GB2312" w:eastAsia="仿宋_GB2312" w:cs="仿宋_GB2312"/>
                <w:color w:val="auto"/>
                <w:sz w:val="32"/>
                <w:szCs w:val="32"/>
                <w:highlight w:val="none"/>
              </w:rPr>
              <w:t>。</w:t>
            </w:r>
          </w:p>
          <w:p w14:paraId="10928BB6">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在此基础上，专家根据各供应商的具体响应内容进一步评审：</w:t>
            </w:r>
          </w:p>
          <w:p w14:paraId="1545A380">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评审为优（</w:t>
            </w:r>
            <w:r>
              <w:rPr>
                <w:rFonts w:hint="eastAsia" w:ascii="仿宋_GB2312" w:hAnsi="仿宋_GB2312" w:eastAsia="仿宋_GB2312" w:cs="仿宋_GB2312"/>
                <w:color w:val="auto"/>
                <w:kern w:val="2"/>
                <w:sz w:val="32"/>
                <w:szCs w:val="32"/>
                <w:lang w:val="en-US" w:eastAsia="zh-CN" w:bidi="ar-SA"/>
              </w:rPr>
              <w:t>质量保障方案</w:t>
            </w:r>
            <w:r>
              <w:rPr>
                <w:rFonts w:hint="eastAsia" w:ascii="仿宋_GB2312" w:hAnsi="仿宋_GB2312" w:eastAsia="仿宋_GB2312" w:cs="仿宋_GB2312"/>
                <w:color w:val="auto"/>
                <w:sz w:val="32"/>
                <w:szCs w:val="32"/>
                <w:highlight w:val="none"/>
              </w:rPr>
              <w:t>全面具体、有针对性和可操作性）的，加</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分；</w:t>
            </w:r>
          </w:p>
          <w:p w14:paraId="22FC12DA">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评审为良（</w:t>
            </w:r>
            <w:r>
              <w:rPr>
                <w:rFonts w:hint="eastAsia" w:ascii="仿宋_GB2312" w:hAnsi="仿宋_GB2312" w:eastAsia="仿宋_GB2312" w:cs="仿宋_GB2312"/>
                <w:color w:val="auto"/>
                <w:kern w:val="2"/>
                <w:sz w:val="32"/>
                <w:szCs w:val="32"/>
                <w:lang w:val="en-US" w:eastAsia="zh-CN" w:bidi="ar-SA"/>
              </w:rPr>
              <w:t>质量保障方案</w:t>
            </w:r>
            <w:r>
              <w:rPr>
                <w:rFonts w:hint="eastAsia" w:ascii="仿宋_GB2312" w:hAnsi="仿宋_GB2312" w:eastAsia="仿宋_GB2312" w:cs="仿宋_GB2312"/>
                <w:color w:val="auto"/>
                <w:sz w:val="32"/>
                <w:szCs w:val="32"/>
                <w:highlight w:val="none"/>
              </w:rPr>
              <w:t>较全面具体、较有针对性和可操作性）的，加</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分；</w:t>
            </w:r>
          </w:p>
          <w:p w14:paraId="43C5CDF3">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评审为中（</w:t>
            </w:r>
            <w:r>
              <w:rPr>
                <w:rFonts w:hint="eastAsia" w:ascii="仿宋_GB2312" w:hAnsi="仿宋_GB2312" w:eastAsia="仿宋_GB2312" w:cs="仿宋_GB2312"/>
                <w:color w:val="auto"/>
                <w:kern w:val="2"/>
                <w:sz w:val="32"/>
                <w:szCs w:val="32"/>
                <w:lang w:val="en-US" w:eastAsia="zh-CN" w:bidi="ar-SA"/>
              </w:rPr>
              <w:t>质量保障方案</w:t>
            </w:r>
            <w:r>
              <w:rPr>
                <w:rFonts w:hint="eastAsia" w:ascii="仿宋_GB2312" w:hAnsi="仿宋_GB2312" w:eastAsia="仿宋_GB2312" w:cs="仿宋_GB2312"/>
                <w:color w:val="auto"/>
                <w:sz w:val="32"/>
                <w:szCs w:val="32"/>
                <w:highlight w:val="none"/>
              </w:rPr>
              <w:t>一般、针对性和可操作性一般）的，加</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分；</w:t>
            </w:r>
          </w:p>
          <w:p w14:paraId="385E4904">
            <w:pPr>
              <w:keepNext w:val="0"/>
              <w:keepLines w:val="0"/>
              <w:pageBreakBefore w:val="0"/>
              <w:widowControl/>
              <w:kinsoku/>
              <w:wordWrap w:val="0"/>
              <w:overflowPunct/>
              <w:topLinePunct w:val="0"/>
              <w:autoSpaceDE/>
              <w:autoSpaceDN/>
              <w:bidi w:val="0"/>
              <w:adjustRightInd/>
              <w:snapToGrid/>
              <w:spacing w:beforeLines="0" w:afterLines="0" w:line="400" w:lineRule="exact"/>
              <w:ind w:right="0" w:rightChars="0"/>
              <w:jc w:val="left"/>
              <w:textAlignment w:val="top"/>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评审为差（质量保障措施不全面不具体、不具有针对性和可操作性的，不加分。</w:t>
            </w:r>
          </w:p>
        </w:tc>
      </w:tr>
      <w:tr w14:paraId="4B1F9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506" w:type="dxa"/>
            <w:vMerge w:val="restart"/>
            <w:vAlign w:val="center"/>
          </w:tcPr>
          <w:p w14:paraId="03D7B549">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（三）综合实力（</w:t>
            </w:r>
            <w:r>
              <w:rPr>
                <w:rFonts w:hint="eastAsia" w:ascii="仿宋_GB2312" w:hAnsi="仿宋_GB2312" w:eastAsia="仿宋_GB2312" w:cs="仿宋_GB2312"/>
                <w:color w:val="auto"/>
                <w:sz w:val="32"/>
                <w:szCs w:val="32"/>
                <w:lang w:val="en-US" w:eastAsia="zh-CN"/>
              </w:rPr>
              <w:t>15</w:t>
            </w:r>
            <w:r>
              <w:rPr>
                <w:rFonts w:hint="eastAsia" w:ascii="仿宋_GB2312" w:hAnsi="仿宋_GB2312" w:eastAsia="仿宋_GB2312" w:cs="仿宋_GB2312"/>
                <w:color w:val="auto"/>
                <w:sz w:val="32"/>
                <w:szCs w:val="32"/>
              </w:rPr>
              <w:t>分）</w:t>
            </w:r>
          </w:p>
        </w:tc>
        <w:tc>
          <w:tcPr>
            <w:tcW w:w="1913" w:type="dxa"/>
            <w:vAlign w:val="center"/>
          </w:tcPr>
          <w:p w14:paraId="70ABFC18">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1.同类业绩</w:t>
            </w:r>
          </w:p>
          <w:p w14:paraId="4B2661AE">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rPr>
              <w:t>分）</w:t>
            </w:r>
          </w:p>
        </w:tc>
        <w:tc>
          <w:tcPr>
            <w:tcW w:w="5639" w:type="dxa"/>
            <w:vAlign w:val="center"/>
          </w:tcPr>
          <w:p w14:paraId="5E373681">
            <w:pPr>
              <w:keepNext w:val="0"/>
              <w:keepLines w:val="0"/>
              <w:pageBreakBefore w:val="0"/>
              <w:widowControl w:val="0"/>
              <w:kinsoku/>
              <w:overflowPunct/>
              <w:topLinePunct w:val="0"/>
              <w:autoSpaceDE/>
              <w:autoSpaceDN/>
              <w:bidi w:val="0"/>
              <w:adjustRightInd/>
              <w:snapToGrid/>
              <w:spacing w:beforeLines="0" w:afterLines="0" w:line="400" w:lineRule="exact"/>
              <w:jc w:val="left"/>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lang w:eastAsia="zh-CN"/>
              </w:rPr>
              <w:t>一、</w:t>
            </w:r>
            <w:r>
              <w:rPr>
                <w:rFonts w:hint="eastAsia" w:ascii="黑体" w:hAnsi="黑体" w:eastAsia="黑体" w:cs="黑体"/>
                <w:b w:val="0"/>
                <w:bCs w:val="0"/>
                <w:sz w:val="32"/>
                <w:szCs w:val="32"/>
                <w:highlight w:val="none"/>
              </w:rPr>
              <w:t>评审内容</w:t>
            </w:r>
          </w:p>
          <w:p w14:paraId="4DA0B119">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rPr>
              <w:t>投标人提供同类业绩，每提供一个业绩得</w:t>
            </w:r>
            <w:r>
              <w:rPr>
                <w:rFonts w:hint="eastAsia" w:ascii="仿宋_GB2312" w:hAnsi="仿宋_GB2312" w:eastAsia="仿宋_GB2312" w:cs="仿宋_GB2312"/>
                <w:color w:val="auto"/>
                <w:kern w:val="2"/>
                <w:sz w:val="32"/>
                <w:szCs w:val="32"/>
                <w:highlight w:val="none"/>
                <w:lang w:val="en-US" w:eastAsia="zh-CN"/>
              </w:rPr>
              <w:t>2.5</w:t>
            </w:r>
            <w:r>
              <w:rPr>
                <w:rFonts w:hint="eastAsia" w:ascii="仿宋_GB2312" w:hAnsi="仿宋_GB2312" w:eastAsia="仿宋_GB2312" w:cs="仿宋_GB2312"/>
                <w:color w:val="auto"/>
                <w:kern w:val="2"/>
                <w:sz w:val="32"/>
                <w:szCs w:val="32"/>
                <w:highlight w:val="none"/>
              </w:rPr>
              <w:t>分（同一服务使用单位不累计得分），最高</w:t>
            </w:r>
            <w:r>
              <w:rPr>
                <w:rFonts w:hint="eastAsia" w:ascii="仿宋_GB2312" w:hAnsi="仿宋_GB2312" w:eastAsia="仿宋_GB2312" w:cs="仿宋_GB2312"/>
                <w:color w:val="auto"/>
                <w:kern w:val="2"/>
                <w:sz w:val="32"/>
                <w:szCs w:val="32"/>
                <w:highlight w:val="none"/>
                <w:lang w:val="en-US" w:eastAsia="zh-CN"/>
              </w:rPr>
              <w:t>10</w:t>
            </w:r>
            <w:r>
              <w:rPr>
                <w:rFonts w:hint="eastAsia" w:ascii="仿宋_GB2312" w:hAnsi="仿宋_GB2312" w:eastAsia="仿宋_GB2312" w:cs="仿宋_GB2312"/>
                <w:color w:val="auto"/>
                <w:kern w:val="2"/>
                <w:sz w:val="32"/>
                <w:szCs w:val="32"/>
                <w:highlight w:val="none"/>
              </w:rPr>
              <w:t>分。不提供或者不能有效证明的，得0分。</w:t>
            </w:r>
          </w:p>
          <w:p w14:paraId="7B3F5882">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color w:val="auto"/>
                <w:kern w:val="2"/>
                <w:sz w:val="32"/>
                <w:szCs w:val="32"/>
                <w:highlight w:val="none"/>
              </w:rPr>
            </w:pPr>
            <w:r>
              <w:rPr>
                <w:rFonts w:hint="eastAsia" w:ascii="黑体" w:hAnsi="黑体" w:eastAsia="黑体" w:cs="黑体"/>
                <w:b w:val="0"/>
                <w:bCs w:val="0"/>
                <w:kern w:val="2"/>
                <w:sz w:val="32"/>
                <w:szCs w:val="32"/>
                <w:highlight w:val="none"/>
                <w:lang w:eastAsia="zh-CN"/>
              </w:rPr>
              <w:t>二、</w:t>
            </w:r>
            <w:r>
              <w:rPr>
                <w:rFonts w:hint="eastAsia" w:ascii="黑体" w:hAnsi="黑体" w:eastAsia="黑体" w:cs="黑体"/>
                <w:b w:val="0"/>
                <w:bCs w:val="0"/>
                <w:kern w:val="2"/>
                <w:sz w:val="32"/>
                <w:szCs w:val="32"/>
                <w:highlight w:val="none"/>
              </w:rPr>
              <w:t>有效业绩定义：</w:t>
            </w:r>
            <w:r>
              <w:rPr>
                <w:rFonts w:hint="eastAsia" w:ascii="仿宋_GB2312" w:hAnsi="仿宋_GB2312" w:eastAsia="仿宋_GB2312" w:cs="仿宋_GB2312"/>
                <w:color w:val="auto"/>
                <w:kern w:val="2"/>
                <w:sz w:val="32"/>
                <w:szCs w:val="32"/>
                <w:highlight w:val="none"/>
              </w:rPr>
              <w:t>（同时满足以下全部要求同类业绩才属于有效业绩）</w:t>
            </w:r>
          </w:p>
          <w:p w14:paraId="441D9B0C">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lang w:eastAsia="zh-CN"/>
              </w:rPr>
              <w:t>（一）</w:t>
            </w:r>
            <w:r>
              <w:rPr>
                <w:rFonts w:hint="eastAsia" w:ascii="仿宋_GB2312" w:hAnsi="仿宋_GB2312" w:eastAsia="仿宋_GB2312" w:cs="仿宋_GB2312"/>
                <w:color w:val="auto"/>
                <w:kern w:val="2"/>
                <w:sz w:val="32"/>
                <w:szCs w:val="32"/>
                <w:highlight w:val="none"/>
              </w:rPr>
              <w:t>业绩内容</w:t>
            </w:r>
            <w:r>
              <w:rPr>
                <w:rFonts w:hint="eastAsia" w:ascii="仿宋_GB2312" w:hAnsi="仿宋_GB2312" w:eastAsia="仿宋_GB2312" w:cs="仿宋_GB2312"/>
                <w:color w:val="auto"/>
                <w:kern w:val="2"/>
                <w:sz w:val="32"/>
                <w:szCs w:val="32"/>
                <w:highlight w:val="none"/>
                <w:lang w:eastAsia="zh-CN"/>
              </w:rPr>
              <w:t>需体现：</w:t>
            </w:r>
            <w:r>
              <w:rPr>
                <w:rFonts w:hint="eastAsia" w:ascii="仿宋_GB2312" w:hAnsi="仿宋_GB2312" w:eastAsia="仿宋_GB2312" w:cs="仿宋_GB2312"/>
                <w:color w:val="auto"/>
                <w:sz w:val="32"/>
                <w:szCs w:val="32"/>
                <w:highlight w:val="none"/>
                <w:lang w:val="en-US" w:eastAsia="zh-CN"/>
              </w:rPr>
              <w:t>驿站器材</w:t>
            </w:r>
            <w:r>
              <w:rPr>
                <w:rFonts w:hint="eastAsia" w:ascii="仿宋_GB2312" w:hAnsi="仿宋_GB2312" w:eastAsia="仿宋_GB2312" w:cs="仿宋_GB2312"/>
                <w:color w:val="auto"/>
                <w:spacing w:val="0"/>
                <w:sz w:val="32"/>
                <w:szCs w:val="32"/>
                <w:highlight w:val="none"/>
                <w:lang w:eastAsia="zh-CN"/>
              </w:rPr>
              <w:t>销售安装。</w:t>
            </w:r>
          </w:p>
          <w:p w14:paraId="5DAEE8F9">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lang w:eastAsia="zh-CN"/>
              </w:rPr>
              <w:t>（二）期限</w:t>
            </w:r>
            <w:r>
              <w:rPr>
                <w:rFonts w:hint="eastAsia" w:ascii="仿宋_GB2312" w:hAnsi="仿宋_GB2312" w:eastAsia="仿宋_GB2312" w:cs="仿宋_GB2312"/>
                <w:color w:val="auto"/>
                <w:kern w:val="2"/>
                <w:sz w:val="32"/>
                <w:szCs w:val="32"/>
                <w:highlight w:val="none"/>
              </w:rPr>
              <w:t>为</w:t>
            </w:r>
            <w:r>
              <w:rPr>
                <w:rFonts w:hint="eastAsia" w:ascii="仿宋_GB2312" w:hAnsi="仿宋_GB2312" w:eastAsia="仿宋_GB2312" w:cs="仿宋_GB2312"/>
                <w:color w:val="auto"/>
                <w:kern w:val="2"/>
                <w:sz w:val="32"/>
                <w:szCs w:val="32"/>
                <w:highlight w:val="none"/>
                <w:lang w:val="en-US" w:eastAsia="zh-CN"/>
              </w:rPr>
              <w:t>2022</w:t>
            </w:r>
            <w:r>
              <w:rPr>
                <w:rFonts w:hint="eastAsia" w:ascii="仿宋_GB2312" w:hAnsi="仿宋_GB2312" w:eastAsia="仿宋_GB2312" w:cs="仿宋_GB2312"/>
                <w:color w:val="auto"/>
                <w:kern w:val="2"/>
                <w:sz w:val="32"/>
                <w:szCs w:val="32"/>
                <w:highlight w:val="none"/>
              </w:rPr>
              <w:t>年</w:t>
            </w:r>
            <w:r>
              <w:rPr>
                <w:rFonts w:hint="eastAsia" w:ascii="仿宋_GB2312" w:hAnsi="仿宋_GB2312" w:eastAsia="仿宋_GB2312" w:cs="仿宋_GB2312"/>
                <w:color w:val="auto"/>
                <w:kern w:val="2"/>
                <w:sz w:val="32"/>
                <w:szCs w:val="32"/>
                <w:highlight w:val="none"/>
                <w:lang w:val="en-US" w:eastAsia="zh-CN"/>
              </w:rPr>
              <w:t>1</w:t>
            </w:r>
            <w:r>
              <w:rPr>
                <w:rFonts w:hint="eastAsia" w:ascii="仿宋_GB2312" w:hAnsi="仿宋_GB2312" w:eastAsia="仿宋_GB2312" w:cs="仿宋_GB2312"/>
                <w:color w:val="auto"/>
                <w:kern w:val="2"/>
                <w:sz w:val="32"/>
                <w:szCs w:val="32"/>
                <w:highlight w:val="none"/>
              </w:rPr>
              <w:t>月</w:t>
            </w:r>
            <w:r>
              <w:rPr>
                <w:rFonts w:hint="eastAsia" w:ascii="仿宋_GB2312" w:hAnsi="仿宋_GB2312" w:eastAsia="仿宋_GB2312" w:cs="仿宋_GB2312"/>
                <w:color w:val="auto"/>
                <w:kern w:val="2"/>
                <w:sz w:val="32"/>
                <w:szCs w:val="32"/>
                <w:highlight w:val="none"/>
                <w:lang w:val="en-US" w:eastAsia="zh-CN"/>
              </w:rPr>
              <w:t>1</w:t>
            </w:r>
            <w:r>
              <w:rPr>
                <w:rFonts w:hint="eastAsia" w:ascii="仿宋_GB2312" w:hAnsi="仿宋_GB2312" w:eastAsia="仿宋_GB2312" w:cs="仿宋_GB2312"/>
                <w:color w:val="auto"/>
                <w:kern w:val="2"/>
                <w:sz w:val="32"/>
                <w:szCs w:val="32"/>
                <w:highlight w:val="none"/>
              </w:rPr>
              <w:t>日至投标截之日</w:t>
            </w:r>
            <w:r>
              <w:rPr>
                <w:rFonts w:hint="eastAsia" w:ascii="仿宋_GB2312" w:hAnsi="仿宋_GB2312" w:eastAsia="仿宋_GB2312" w:cs="仿宋_GB2312"/>
                <w:color w:val="auto"/>
                <w:kern w:val="2"/>
                <w:sz w:val="32"/>
                <w:szCs w:val="32"/>
                <w:highlight w:val="none"/>
                <w:lang w:eastAsia="zh-CN"/>
              </w:rPr>
              <w:t>已完成的服务合同</w:t>
            </w:r>
            <w:r>
              <w:rPr>
                <w:rFonts w:hint="eastAsia" w:ascii="仿宋_GB2312" w:hAnsi="仿宋_GB2312" w:eastAsia="仿宋_GB2312" w:cs="仿宋_GB2312"/>
                <w:color w:val="auto"/>
                <w:kern w:val="2"/>
                <w:sz w:val="32"/>
                <w:szCs w:val="32"/>
                <w:highlight w:val="none"/>
              </w:rPr>
              <w:t>（以合同</w:t>
            </w:r>
            <w:r>
              <w:rPr>
                <w:rFonts w:hint="eastAsia" w:ascii="仿宋_GB2312" w:hAnsi="仿宋_GB2312" w:eastAsia="仿宋_GB2312" w:cs="仿宋_GB2312"/>
                <w:color w:val="auto"/>
                <w:kern w:val="2"/>
                <w:sz w:val="32"/>
                <w:szCs w:val="32"/>
                <w:highlight w:val="none"/>
                <w:lang w:eastAsia="zh-CN"/>
              </w:rPr>
              <w:t>服务期限</w:t>
            </w:r>
            <w:r>
              <w:rPr>
                <w:rFonts w:hint="eastAsia" w:ascii="仿宋_GB2312" w:hAnsi="仿宋_GB2312" w:eastAsia="仿宋_GB2312" w:cs="仿宋_GB2312"/>
                <w:color w:val="auto"/>
                <w:kern w:val="2"/>
                <w:sz w:val="32"/>
                <w:szCs w:val="32"/>
                <w:highlight w:val="none"/>
              </w:rPr>
              <w:t>为准）。</w:t>
            </w:r>
          </w:p>
          <w:p w14:paraId="0DECF9FE">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黑体" w:hAnsi="黑体" w:eastAsia="黑体" w:cs="黑体"/>
                <w:b w:val="0"/>
                <w:bCs w:val="0"/>
                <w:kern w:val="2"/>
                <w:sz w:val="32"/>
                <w:szCs w:val="32"/>
                <w:highlight w:val="none"/>
              </w:rPr>
            </w:pPr>
            <w:r>
              <w:rPr>
                <w:rFonts w:hint="eastAsia" w:ascii="黑体" w:hAnsi="黑体" w:eastAsia="黑体" w:cs="黑体"/>
                <w:b w:val="0"/>
                <w:bCs w:val="0"/>
                <w:kern w:val="2"/>
                <w:sz w:val="32"/>
                <w:szCs w:val="32"/>
                <w:highlight w:val="none"/>
                <w:lang w:eastAsia="zh-CN"/>
              </w:rPr>
              <w:t>三、</w:t>
            </w:r>
            <w:r>
              <w:rPr>
                <w:rFonts w:hint="eastAsia" w:ascii="黑体" w:hAnsi="黑体" w:eastAsia="黑体" w:cs="黑体"/>
                <w:b w:val="0"/>
                <w:bCs w:val="0"/>
                <w:kern w:val="2"/>
                <w:sz w:val="32"/>
                <w:szCs w:val="32"/>
                <w:highlight w:val="none"/>
              </w:rPr>
              <w:t>证明文件</w:t>
            </w:r>
          </w:p>
          <w:p w14:paraId="1CF585D0">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rPr>
              <w:t>供应商提供项目合同关键页（首页、体现采购内容页、签字盖章页、签订时间页）扫描件。</w:t>
            </w:r>
          </w:p>
        </w:tc>
      </w:tr>
      <w:tr w14:paraId="18333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506" w:type="dxa"/>
            <w:vMerge w:val="continue"/>
            <w:vAlign w:val="center"/>
          </w:tcPr>
          <w:p w14:paraId="0DAB7807">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rPr>
            </w:pPr>
          </w:p>
        </w:tc>
        <w:tc>
          <w:tcPr>
            <w:tcW w:w="1913" w:type="dxa"/>
            <w:vAlign w:val="center"/>
          </w:tcPr>
          <w:p w14:paraId="18778034">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2.履约评价（5分）</w:t>
            </w:r>
          </w:p>
        </w:tc>
        <w:tc>
          <w:tcPr>
            <w:tcW w:w="5639" w:type="dxa"/>
            <w:vAlign w:val="center"/>
          </w:tcPr>
          <w:p w14:paraId="3F2C2B50">
            <w:pPr>
              <w:keepNext w:val="0"/>
              <w:keepLines w:val="0"/>
              <w:pageBreakBefore w:val="0"/>
              <w:widowControl/>
              <w:numPr>
                <w:ilvl w:val="0"/>
                <w:numId w:val="0"/>
              </w:numPr>
              <w:kinsoku/>
              <w:wordWrap w:val="0"/>
              <w:overflowPunct/>
              <w:topLinePunct w:val="0"/>
              <w:autoSpaceDE/>
              <w:autoSpaceDN/>
              <w:bidi w:val="0"/>
              <w:adjustRightInd/>
              <w:snapToGrid/>
              <w:spacing w:beforeLines="0" w:afterLines="0" w:line="400" w:lineRule="exact"/>
              <w:jc w:val="left"/>
              <w:textAlignment w:val="top"/>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lang w:eastAsia="zh-CN"/>
              </w:rPr>
              <w:t>一、</w:t>
            </w:r>
            <w:r>
              <w:rPr>
                <w:rFonts w:hint="eastAsia" w:ascii="黑体" w:hAnsi="黑体" w:eastAsia="黑体" w:cs="黑体"/>
                <w:b w:val="0"/>
                <w:bCs w:val="0"/>
                <w:sz w:val="32"/>
                <w:szCs w:val="32"/>
                <w:highlight w:val="none"/>
              </w:rPr>
              <w:t>评审内容</w:t>
            </w:r>
          </w:p>
          <w:p w14:paraId="1498BFE7">
            <w:pPr>
              <w:keepNext w:val="0"/>
              <w:keepLines w:val="0"/>
              <w:pageBreakBefore w:val="0"/>
              <w:widowControl/>
              <w:numPr>
                <w:ilvl w:val="0"/>
                <w:numId w:val="0"/>
              </w:numPr>
              <w:kinsoku/>
              <w:wordWrap w:val="0"/>
              <w:overflowPunct/>
              <w:topLinePunct w:val="0"/>
              <w:autoSpaceDE/>
              <w:autoSpaceDN/>
              <w:bidi w:val="0"/>
              <w:adjustRightInd/>
              <w:snapToGrid/>
              <w:spacing w:beforeLines="0" w:afterLines="0" w:line="400" w:lineRule="exact"/>
              <w:jc w:val="left"/>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投标人在上述“同类项目业绩”中</w:t>
            </w:r>
            <w:r>
              <w:rPr>
                <w:rFonts w:hint="eastAsia" w:ascii="仿宋_GB2312" w:hAnsi="仿宋_GB2312" w:eastAsia="仿宋_GB2312" w:cs="仿宋_GB2312"/>
                <w:color w:val="auto"/>
                <w:sz w:val="32"/>
                <w:szCs w:val="32"/>
                <w:highlight w:val="none"/>
                <w:lang w:val="en-US" w:eastAsia="zh-CN"/>
              </w:rPr>
              <w:t>经评审为有效业绩的，</w:t>
            </w:r>
            <w:r>
              <w:rPr>
                <w:rFonts w:hint="eastAsia" w:ascii="仿宋_GB2312" w:hAnsi="仿宋_GB2312" w:eastAsia="仿宋_GB2312" w:cs="仿宋_GB2312"/>
                <w:color w:val="auto"/>
                <w:sz w:val="32"/>
                <w:szCs w:val="32"/>
                <w:highlight w:val="none"/>
              </w:rPr>
              <w:t>能够提供用户出具的履约评价书，且评价为优</w:t>
            </w:r>
            <w:r>
              <w:rPr>
                <w:rFonts w:hint="eastAsia" w:ascii="仿宋_GB2312" w:hAnsi="仿宋_GB2312" w:eastAsia="仿宋_GB2312" w:cs="仿宋_GB2312"/>
                <w:color w:val="auto"/>
                <w:sz w:val="32"/>
                <w:szCs w:val="32"/>
                <w:highlight w:val="none"/>
                <w:lang w:val="en-US" w:eastAsia="zh-CN"/>
              </w:rPr>
              <w:t>或优秀或满意</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或其他同等级评价的</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的，每</w:t>
            </w:r>
            <w:r>
              <w:rPr>
                <w:rFonts w:hint="eastAsia" w:ascii="仿宋_GB2312" w:hAnsi="仿宋_GB2312" w:eastAsia="仿宋_GB2312" w:cs="仿宋_GB2312"/>
                <w:color w:val="auto"/>
                <w:sz w:val="32"/>
                <w:szCs w:val="32"/>
                <w:highlight w:val="none"/>
                <w:lang w:val="en-US" w:eastAsia="zh-CN"/>
              </w:rPr>
              <w:t>提供一份得2.5分，最高得5分</w:t>
            </w:r>
            <w:r>
              <w:rPr>
                <w:rFonts w:hint="eastAsia" w:ascii="仿宋_GB2312" w:hAnsi="仿宋_GB2312" w:eastAsia="仿宋_GB2312" w:cs="仿宋_GB2312"/>
                <w:color w:val="auto"/>
                <w:sz w:val="32"/>
                <w:szCs w:val="32"/>
                <w:highlight w:val="none"/>
              </w:rPr>
              <w:t>。</w:t>
            </w:r>
          </w:p>
          <w:p w14:paraId="38D0D939">
            <w:pPr>
              <w:keepNext w:val="0"/>
              <w:keepLines w:val="0"/>
              <w:pageBreakBefore w:val="0"/>
              <w:widowControl/>
              <w:numPr>
                <w:ilvl w:val="0"/>
                <w:numId w:val="0"/>
              </w:numPr>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黑体" w:hAnsi="黑体" w:eastAsia="黑体" w:cs="黑体"/>
                <w:b w:val="0"/>
                <w:bCs w:val="0"/>
                <w:kern w:val="2"/>
                <w:sz w:val="32"/>
                <w:szCs w:val="32"/>
                <w:highlight w:val="none"/>
              </w:rPr>
            </w:pPr>
            <w:r>
              <w:rPr>
                <w:rFonts w:hint="eastAsia" w:ascii="黑体" w:hAnsi="黑体" w:eastAsia="黑体" w:cs="黑体"/>
                <w:b w:val="0"/>
                <w:bCs w:val="0"/>
                <w:kern w:val="2"/>
                <w:sz w:val="32"/>
                <w:szCs w:val="32"/>
                <w:highlight w:val="none"/>
                <w:lang w:eastAsia="zh-CN"/>
              </w:rPr>
              <w:t>二、</w:t>
            </w:r>
            <w:r>
              <w:rPr>
                <w:rFonts w:hint="eastAsia" w:ascii="黑体" w:hAnsi="黑体" w:eastAsia="黑体" w:cs="黑体"/>
                <w:b w:val="0"/>
                <w:bCs w:val="0"/>
                <w:kern w:val="2"/>
                <w:sz w:val="32"/>
                <w:szCs w:val="32"/>
                <w:highlight w:val="none"/>
              </w:rPr>
              <w:t>证明文件</w:t>
            </w:r>
          </w:p>
          <w:p w14:paraId="7D218299">
            <w:pPr>
              <w:keepNext w:val="0"/>
              <w:keepLines w:val="0"/>
              <w:pageBreakBefore w:val="0"/>
              <w:widowControl/>
              <w:numPr>
                <w:ilvl w:val="0"/>
                <w:numId w:val="0"/>
              </w:numPr>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sz w:val="32"/>
                <w:szCs w:val="32"/>
                <w:highlight w:val="none"/>
              </w:rPr>
              <w:t>投标人提供用户出具的履约评价书（加盖用户单位公章）原件扫描件</w:t>
            </w:r>
            <w:r>
              <w:rPr>
                <w:rFonts w:hint="eastAsia" w:ascii="仿宋_GB2312" w:hAnsi="仿宋_GB2312" w:eastAsia="仿宋_GB2312" w:cs="仿宋_GB2312"/>
                <w:color w:val="auto"/>
                <w:sz w:val="32"/>
                <w:szCs w:val="32"/>
                <w:highlight w:val="none"/>
                <w:lang w:val="en-US" w:eastAsia="zh-CN"/>
              </w:rPr>
              <w:t>或复印件</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并加盖投标人公章，</w:t>
            </w:r>
            <w:r>
              <w:rPr>
                <w:rFonts w:hint="eastAsia" w:ascii="仿宋_GB2312" w:hAnsi="仿宋_GB2312" w:eastAsia="仿宋_GB2312" w:cs="仿宋_GB2312"/>
                <w:color w:val="auto"/>
                <w:sz w:val="32"/>
                <w:szCs w:val="32"/>
                <w:highlight w:val="none"/>
              </w:rPr>
              <w:t>原件备查。未提供有效证明材料的或者提供的证明材料不符合要求的或者提供的证明材料不清晰导致无法辨认的，一律作不得分处理</w:t>
            </w:r>
            <w:r>
              <w:rPr>
                <w:rFonts w:hint="eastAsia" w:ascii="仿宋_GB2312" w:hAnsi="仿宋_GB2312" w:eastAsia="仿宋_GB2312" w:cs="仿宋_GB2312"/>
                <w:color w:val="auto"/>
                <w:sz w:val="32"/>
                <w:szCs w:val="32"/>
                <w:highlight w:val="none"/>
                <w:lang w:eastAsia="zh-CN"/>
              </w:rPr>
              <w:t>。</w:t>
            </w:r>
          </w:p>
        </w:tc>
      </w:tr>
      <w:tr w14:paraId="731DE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3419" w:type="dxa"/>
            <w:gridSpan w:val="2"/>
            <w:vAlign w:val="center"/>
          </w:tcPr>
          <w:p w14:paraId="45D5D791">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（四）诚信情况（5分）</w:t>
            </w:r>
          </w:p>
        </w:tc>
        <w:tc>
          <w:tcPr>
            <w:tcW w:w="5639" w:type="dxa"/>
            <w:vAlign w:val="center"/>
          </w:tcPr>
          <w:p w14:paraId="16267033">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lang w:eastAsia="zh-CN"/>
              </w:rPr>
              <w:t>投标</w:t>
            </w:r>
            <w:r>
              <w:rPr>
                <w:rFonts w:hint="eastAsia" w:ascii="仿宋_GB2312" w:hAnsi="仿宋_GB2312" w:eastAsia="仿宋_GB2312" w:cs="仿宋_GB2312"/>
                <w:color w:val="auto"/>
                <w:kern w:val="2"/>
                <w:sz w:val="32"/>
                <w:szCs w:val="32"/>
                <w:highlight w:val="none"/>
              </w:rPr>
              <w:t>人在参与政府采购活动中存在诚信相关问题且在主管部门相关处理措施实施期限内的，本项不得分，否则得满分。</w:t>
            </w:r>
          </w:p>
          <w:p w14:paraId="4AF0C3AE">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lang w:val="en-US" w:eastAsia="zh-CN"/>
              </w:rPr>
              <w:t>需</w:t>
            </w:r>
            <w:r>
              <w:rPr>
                <w:rFonts w:hint="eastAsia" w:ascii="仿宋_GB2312" w:hAnsi="仿宋_GB2312" w:eastAsia="仿宋_GB2312" w:cs="仿宋_GB2312"/>
                <w:color w:val="auto"/>
                <w:kern w:val="2"/>
                <w:sz w:val="32"/>
                <w:szCs w:val="32"/>
                <w:highlight w:val="none"/>
              </w:rPr>
              <w:t>提供《诚信承诺函》，按采购文件格式要求提供，不提供不得分。如被认定提供的陈述与事实不符的，依法追究其责任。</w:t>
            </w:r>
          </w:p>
        </w:tc>
      </w:tr>
    </w:tbl>
    <w:p w14:paraId="6C377EE8">
      <w:pPr>
        <w:spacing w:line="579" w:lineRule="exact"/>
        <w:ind w:firstLine="640" w:firstLineChars="200"/>
        <w:outlineLvl w:val="0"/>
        <w:rPr>
          <w:rFonts w:hint="eastAsia" w:ascii="黑体" w:hAnsi="黑体" w:eastAsia="黑体" w:cs="黑体"/>
          <w:sz w:val="32"/>
          <w:szCs w:val="32"/>
          <w:lang w:eastAsia="zh-CN"/>
        </w:rPr>
      </w:pPr>
      <w:r>
        <w:rPr>
          <w:rFonts w:hint="eastAsia" w:ascii="黑体" w:hAnsi="黑体" w:eastAsia="黑体" w:cs="黑体"/>
          <w:sz w:val="32"/>
          <w:szCs w:val="32"/>
          <w:lang w:val="en-US" w:eastAsia="zh-CN"/>
        </w:rPr>
        <w:t>五、</w:t>
      </w:r>
      <w:r>
        <w:rPr>
          <w:rFonts w:hint="eastAsia" w:ascii="黑体" w:hAnsi="黑体" w:eastAsia="黑体" w:cs="黑体"/>
          <w:sz w:val="32"/>
          <w:szCs w:val="32"/>
          <w:lang w:eastAsia="zh-CN"/>
        </w:rPr>
        <w:t>投标时提交的资料</w:t>
      </w:r>
    </w:p>
    <w:p w14:paraId="3757E1D1">
      <w:pPr>
        <w:pStyle w:val="8"/>
        <w:keepNext w:val="0"/>
        <w:keepLines w:val="0"/>
        <w:pageBreakBefore w:val="0"/>
        <w:widowControl w:val="0"/>
        <w:kinsoku/>
        <w:wordWrap/>
        <w:overflowPunct/>
        <w:topLinePunct w:val="0"/>
        <w:autoSpaceDE/>
        <w:autoSpaceDN/>
        <w:bidi w:val="0"/>
        <w:adjustRightInd/>
        <w:snapToGrid/>
        <w:spacing w:line="579" w:lineRule="exact"/>
        <w:ind w:left="0" w:leftChars="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递交投标响应文件时需要提交的资料包含但不限于以下内容项目：</w:t>
      </w:r>
    </w:p>
    <w:p w14:paraId="42D574D5">
      <w:pPr>
        <w:pStyle w:val="8"/>
        <w:keepNext w:val="0"/>
        <w:keepLines w:val="0"/>
        <w:pageBreakBefore w:val="0"/>
        <w:widowControl w:val="0"/>
        <w:kinsoku/>
        <w:wordWrap/>
        <w:overflowPunct/>
        <w:topLinePunct w:val="0"/>
        <w:autoSpaceDE/>
        <w:autoSpaceDN/>
        <w:bidi w:val="0"/>
        <w:adjustRightInd/>
        <w:snapToGrid/>
        <w:spacing w:line="579" w:lineRule="exact"/>
        <w:ind w:left="0" w:leftChars="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1.营业执照复印件；</w:t>
      </w:r>
    </w:p>
    <w:p w14:paraId="30AED795">
      <w:pPr>
        <w:pStyle w:val="8"/>
        <w:keepNext w:val="0"/>
        <w:keepLines w:val="0"/>
        <w:pageBreakBefore w:val="0"/>
        <w:widowControl w:val="0"/>
        <w:kinsoku/>
        <w:wordWrap/>
        <w:overflowPunct/>
        <w:topLinePunct w:val="0"/>
        <w:autoSpaceDE/>
        <w:autoSpaceDN/>
        <w:bidi w:val="0"/>
        <w:adjustRightInd/>
        <w:snapToGrid/>
        <w:spacing w:line="579" w:lineRule="exact"/>
        <w:ind w:left="0" w:leftChars="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2.单位法人证明书原件及法人身份证复印件、授权委托书原件及被授权人身份证复印件；</w:t>
      </w:r>
    </w:p>
    <w:p w14:paraId="0F9D6B77">
      <w:pPr>
        <w:numPr>
          <w:ilvl w:val="0"/>
          <w:numId w:val="0"/>
        </w:numPr>
        <w:spacing w:beforeLines="0" w:afterLines="0" w:line="579" w:lineRule="exact"/>
        <w:ind w:firstLine="640" w:firstLineChars="200"/>
        <w:rPr>
          <w:rFonts w:hint="default"/>
          <w:lang w:val="en-US" w:eastAsia="zh-CN"/>
        </w:rPr>
      </w:pPr>
      <w:r>
        <w:rPr>
          <w:rFonts w:hint="eastAsia" w:ascii="仿宋_GB2312" w:hAnsi="仿宋_GB2312" w:eastAsia="仿宋_GB2312" w:cs="仿宋_GB2312"/>
          <w:kern w:val="2"/>
          <w:sz w:val="32"/>
          <w:szCs w:val="32"/>
          <w:highlight w:val="none"/>
          <w:lang w:val="en-US" w:eastAsia="zh-CN" w:bidi="ar-SA"/>
        </w:rPr>
        <w:t>3.</w:t>
      </w:r>
      <w:r>
        <w:rPr>
          <w:rFonts w:hint="eastAsia" w:ascii="仿宋_GB2312" w:hAnsi="仿宋_GB2312" w:eastAsia="仿宋_GB2312" w:cs="仿宋_GB2312"/>
          <w:b w:val="0"/>
          <w:bCs/>
          <w:color w:val="auto"/>
          <w:sz w:val="32"/>
          <w:szCs w:val="32"/>
          <w:lang w:val="en-US" w:eastAsia="zh-CN"/>
        </w:rPr>
        <w:t>法定代表人，被授权人，项目负责人（如有）近三个月最近一月的社保缴纳证明；</w:t>
      </w:r>
    </w:p>
    <w:p w14:paraId="3EC5FDB7">
      <w:pPr>
        <w:pStyle w:val="8"/>
        <w:keepNext w:val="0"/>
        <w:keepLines w:val="0"/>
        <w:pageBreakBefore w:val="0"/>
        <w:widowControl w:val="0"/>
        <w:kinsoku/>
        <w:wordWrap/>
        <w:overflowPunct/>
        <w:topLinePunct w:val="0"/>
        <w:autoSpaceDE/>
        <w:autoSpaceDN/>
        <w:bidi w:val="0"/>
        <w:adjustRightInd/>
        <w:snapToGrid/>
        <w:spacing w:line="579" w:lineRule="exact"/>
        <w:ind w:left="0" w:leftChars="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4.报价文件（格式自定）；</w:t>
      </w:r>
    </w:p>
    <w:p w14:paraId="7C7FA5FA">
      <w:pPr>
        <w:pStyle w:val="8"/>
        <w:keepNext w:val="0"/>
        <w:keepLines w:val="0"/>
        <w:pageBreakBefore w:val="0"/>
        <w:widowControl w:val="0"/>
        <w:kinsoku/>
        <w:wordWrap/>
        <w:overflowPunct/>
        <w:topLinePunct w:val="0"/>
        <w:autoSpaceDE/>
        <w:autoSpaceDN/>
        <w:bidi w:val="0"/>
        <w:adjustRightInd/>
        <w:snapToGrid/>
        <w:spacing w:line="579" w:lineRule="exact"/>
        <w:ind w:left="0" w:leftChars="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5.</w:t>
      </w:r>
      <w:r>
        <w:rPr>
          <w:rFonts w:hint="eastAsia" w:ascii="仿宋_GB2312" w:hAnsi="仿宋_GB2312" w:eastAsia="仿宋_GB2312" w:cs="仿宋_GB2312"/>
          <w:color w:val="auto"/>
          <w:sz w:val="32"/>
          <w:szCs w:val="32"/>
        </w:rPr>
        <w:t>项目实施方案</w:t>
      </w:r>
      <w:r>
        <w:rPr>
          <w:rFonts w:hint="eastAsia" w:ascii="仿宋_GB2312" w:hAnsi="仿宋_GB2312" w:eastAsia="仿宋_GB2312" w:cs="仿宋_GB2312"/>
          <w:kern w:val="2"/>
          <w:sz w:val="32"/>
          <w:szCs w:val="32"/>
          <w:highlight w:val="none"/>
          <w:lang w:val="en-US" w:eastAsia="zh-CN" w:bidi="ar-SA"/>
        </w:rPr>
        <w:t>（格式自定）；</w:t>
      </w:r>
    </w:p>
    <w:p w14:paraId="45650464">
      <w:pPr>
        <w:pStyle w:val="8"/>
        <w:keepNext w:val="0"/>
        <w:keepLines w:val="0"/>
        <w:pageBreakBefore w:val="0"/>
        <w:widowControl w:val="0"/>
        <w:kinsoku/>
        <w:wordWrap/>
        <w:overflowPunct/>
        <w:topLinePunct w:val="0"/>
        <w:autoSpaceDE/>
        <w:autoSpaceDN/>
        <w:bidi w:val="0"/>
        <w:adjustRightInd/>
        <w:snapToGrid/>
        <w:spacing w:line="579" w:lineRule="exact"/>
        <w:ind w:left="0" w:leftChars="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6.</w:t>
      </w:r>
      <w:r>
        <w:rPr>
          <w:rFonts w:hint="eastAsia" w:ascii="仿宋_GB2312" w:hAnsi="仿宋_GB2312" w:eastAsia="仿宋_GB2312" w:cs="仿宋_GB2312"/>
          <w:color w:val="auto"/>
          <w:sz w:val="32"/>
          <w:szCs w:val="32"/>
        </w:rPr>
        <w:t>售后服务</w:t>
      </w:r>
      <w:r>
        <w:rPr>
          <w:rFonts w:hint="eastAsia" w:ascii="仿宋_GB2312" w:hAnsi="仿宋_GB2312" w:eastAsia="仿宋_GB2312" w:cs="仿宋_GB2312"/>
          <w:kern w:val="2"/>
          <w:sz w:val="32"/>
          <w:szCs w:val="32"/>
          <w:highlight w:val="none"/>
          <w:lang w:val="en-US" w:eastAsia="zh-CN" w:bidi="ar-SA"/>
        </w:rPr>
        <w:t>（格式自定）；</w:t>
      </w:r>
    </w:p>
    <w:p w14:paraId="04563C65">
      <w:pPr>
        <w:pStyle w:val="8"/>
        <w:spacing w:line="579" w:lineRule="exact"/>
        <w:ind w:firstLine="640" w:firstLineChars="200"/>
        <w:jc w:val="both"/>
        <w:rPr>
          <w:rFonts w:hint="eastAsia"/>
          <w:lang w:val="en-US" w:eastAsia="zh-CN"/>
        </w:rPr>
      </w:pPr>
      <w:r>
        <w:rPr>
          <w:rFonts w:hint="eastAsia" w:ascii="仿宋_GB2312" w:hAnsi="仿宋_GB2312" w:eastAsia="仿宋_GB2312" w:cs="仿宋_GB2312"/>
          <w:kern w:val="2"/>
          <w:sz w:val="32"/>
          <w:szCs w:val="32"/>
          <w:highlight w:val="none"/>
          <w:lang w:val="en-US" w:eastAsia="zh-CN" w:bidi="ar-SA"/>
        </w:rPr>
        <w:t>7.</w:t>
      </w:r>
      <w:r>
        <w:rPr>
          <w:rFonts w:hint="eastAsia" w:ascii="仿宋_GB2312" w:hAnsi="仿宋_GB2312" w:eastAsia="仿宋_GB2312" w:cs="仿宋_GB2312"/>
          <w:color w:val="auto"/>
          <w:kern w:val="2"/>
          <w:sz w:val="32"/>
          <w:szCs w:val="32"/>
          <w:lang w:val="en-US" w:eastAsia="zh-CN" w:bidi="ar-SA"/>
        </w:rPr>
        <w:t>质量保障方案</w:t>
      </w:r>
      <w:r>
        <w:rPr>
          <w:rFonts w:hint="eastAsia" w:ascii="仿宋_GB2312" w:hAnsi="仿宋_GB2312" w:eastAsia="仿宋_GB2312" w:cs="仿宋_GB2312"/>
          <w:kern w:val="2"/>
          <w:sz w:val="32"/>
          <w:szCs w:val="32"/>
          <w:highlight w:val="none"/>
          <w:lang w:val="en-US" w:eastAsia="zh-CN" w:bidi="ar-SA"/>
        </w:rPr>
        <w:t>（格式自定）；</w:t>
      </w:r>
    </w:p>
    <w:p w14:paraId="4DDEC10B">
      <w:pPr>
        <w:pStyle w:val="8"/>
        <w:keepNext w:val="0"/>
        <w:keepLines w:val="0"/>
        <w:pageBreakBefore w:val="0"/>
        <w:widowControl w:val="0"/>
        <w:kinsoku/>
        <w:wordWrap/>
        <w:overflowPunct/>
        <w:topLinePunct w:val="0"/>
        <w:autoSpaceDE/>
        <w:autoSpaceDN/>
        <w:bidi w:val="0"/>
        <w:adjustRightInd/>
        <w:snapToGrid/>
        <w:spacing w:line="579" w:lineRule="exact"/>
        <w:ind w:left="0" w:leftChars="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8.同类业绩，履约评价（格式自定）；</w:t>
      </w:r>
    </w:p>
    <w:p w14:paraId="2C691DA9">
      <w:pPr>
        <w:pStyle w:val="8"/>
        <w:keepNext w:val="0"/>
        <w:keepLines w:val="0"/>
        <w:pageBreakBefore w:val="0"/>
        <w:widowControl w:val="0"/>
        <w:kinsoku/>
        <w:wordWrap/>
        <w:overflowPunct/>
        <w:topLinePunct w:val="0"/>
        <w:autoSpaceDE/>
        <w:autoSpaceDN/>
        <w:bidi w:val="0"/>
        <w:adjustRightInd/>
        <w:snapToGrid/>
        <w:spacing w:line="579" w:lineRule="exact"/>
        <w:ind w:left="0" w:leftChars="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9.供应商基本情况表（附件1）；</w:t>
      </w:r>
    </w:p>
    <w:p w14:paraId="1E4E77FF">
      <w:pPr>
        <w:pStyle w:val="8"/>
        <w:keepNext w:val="0"/>
        <w:keepLines w:val="0"/>
        <w:pageBreakBefore w:val="0"/>
        <w:widowControl w:val="0"/>
        <w:kinsoku/>
        <w:wordWrap/>
        <w:overflowPunct/>
        <w:topLinePunct w:val="0"/>
        <w:autoSpaceDE/>
        <w:autoSpaceDN/>
        <w:bidi w:val="0"/>
        <w:adjustRightInd/>
        <w:snapToGrid/>
        <w:spacing w:line="579" w:lineRule="exact"/>
        <w:ind w:left="0" w:leftChars="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10.政府采购违法行为风险知悉确认书（附件2）；</w:t>
      </w:r>
    </w:p>
    <w:p w14:paraId="57B4AA2F">
      <w:pPr>
        <w:pStyle w:val="8"/>
        <w:keepNext w:val="0"/>
        <w:keepLines w:val="0"/>
        <w:pageBreakBefore w:val="0"/>
        <w:widowControl w:val="0"/>
        <w:kinsoku/>
        <w:wordWrap/>
        <w:overflowPunct/>
        <w:topLinePunct w:val="0"/>
        <w:autoSpaceDE/>
        <w:autoSpaceDN/>
        <w:bidi w:val="0"/>
        <w:adjustRightInd/>
        <w:snapToGrid/>
        <w:spacing w:line="579" w:lineRule="exact"/>
        <w:ind w:left="0" w:leftChars="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11.履约承诺函（附件3）；</w:t>
      </w:r>
    </w:p>
    <w:p w14:paraId="0B099B7D">
      <w:pPr>
        <w:pStyle w:val="8"/>
        <w:keepNext w:val="0"/>
        <w:keepLines w:val="0"/>
        <w:pageBreakBefore w:val="0"/>
        <w:widowControl w:val="0"/>
        <w:kinsoku/>
        <w:wordWrap/>
        <w:overflowPunct/>
        <w:topLinePunct w:val="0"/>
        <w:autoSpaceDE/>
        <w:autoSpaceDN/>
        <w:bidi w:val="0"/>
        <w:adjustRightInd/>
        <w:snapToGrid/>
        <w:spacing w:line="579" w:lineRule="exact"/>
        <w:ind w:left="0" w:leftChars="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12.诚信承诺函（附件4）；</w:t>
      </w:r>
    </w:p>
    <w:p w14:paraId="115AD0F3">
      <w:pPr>
        <w:pStyle w:val="8"/>
        <w:keepNext w:val="0"/>
        <w:keepLines w:val="0"/>
        <w:pageBreakBefore w:val="0"/>
        <w:widowControl w:val="0"/>
        <w:kinsoku/>
        <w:wordWrap/>
        <w:overflowPunct/>
        <w:topLinePunct w:val="0"/>
        <w:autoSpaceDE/>
        <w:autoSpaceDN/>
        <w:bidi w:val="0"/>
        <w:adjustRightInd/>
        <w:snapToGrid/>
        <w:spacing w:line="579" w:lineRule="exact"/>
        <w:ind w:left="0" w:leftChars="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13.供应商认为有必要提供的其他资料等。</w:t>
      </w:r>
    </w:p>
    <w:p w14:paraId="2B2FCB54">
      <w:pPr>
        <w:pStyle w:val="8"/>
        <w:keepNext w:val="0"/>
        <w:keepLines w:val="0"/>
        <w:pageBreakBefore w:val="0"/>
        <w:widowControl w:val="0"/>
        <w:kinsoku/>
        <w:wordWrap/>
        <w:overflowPunct/>
        <w:topLinePunct w:val="0"/>
        <w:autoSpaceDE/>
        <w:autoSpaceDN/>
        <w:bidi w:val="0"/>
        <w:adjustRightInd/>
        <w:snapToGrid/>
        <w:spacing w:line="579" w:lineRule="exact"/>
        <w:ind w:left="0" w:leftChars="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以上资料均须加盖投标单位公章，供应商递交的投标响应文件须密封完好，并在密封处加盖投标人公章。</w:t>
      </w:r>
    </w:p>
    <w:p w14:paraId="672DDC02">
      <w:pPr>
        <w:spacing w:line="579" w:lineRule="exact"/>
        <w:rPr>
          <w:rFonts w:hint="eastAsia" w:ascii="仿宋_GB2312" w:hAnsi="仿宋_GB2312" w:eastAsia="仿宋_GB2312" w:cs="仿宋_GB2312"/>
          <w:kern w:val="2"/>
          <w:sz w:val="32"/>
          <w:szCs w:val="32"/>
          <w:highlight w:val="none"/>
          <w:lang w:val="en-US" w:eastAsia="zh-CN" w:bidi="ar-SA"/>
        </w:rPr>
      </w:pPr>
    </w:p>
    <w:p w14:paraId="44FF4EDE">
      <w:pPr>
        <w:pStyle w:val="9"/>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hint="default" w:hAnsi="仿宋_GB2312" w:cs="仿宋_GB2312"/>
          <w:sz w:val="32"/>
          <w:szCs w:val="32"/>
          <w:highlight w:val="none"/>
          <w:lang w:val="en-US" w:eastAsia="zh-CN"/>
        </w:rPr>
      </w:pPr>
      <w:r>
        <w:rPr>
          <w:rFonts w:hint="eastAsia" w:hAnsi="仿宋_GB2312" w:cs="仿宋_GB2312"/>
          <w:sz w:val="32"/>
          <w:szCs w:val="32"/>
          <w:highlight w:val="none"/>
          <w:lang w:val="en-US" w:eastAsia="zh-CN"/>
        </w:rPr>
        <w:t>附件：1.供应商基本情况表</w:t>
      </w:r>
    </w:p>
    <w:p w14:paraId="6D892A22">
      <w:pPr>
        <w:pStyle w:val="9"/>
        <w:keepNext w:val="0"/>
        <w:keepLines w:val="0"/>
        <w:pageBreakBefore w:val="0"/>
        <w:widowControl w:val="0"/>
        <w:kinsoku/>
        <w:overflowPunct/>
        <w:topLinePunct w:val="0"/>
        <w:autoSpaceDE/>
        <w:autoSpaceDN/>
        <w:bidi w:val="0"/>
        <w:adjustRightInd/>
        <w:snapToGrid/>
        <w:spacing w:line="579" w:lineRule="exact"/>
        <w:ind w:firstLine="1600" w:firstLineChars="500"/>
        <w:textAlignment w:val="auto"/>
        <w:rPr>
          <w:rFonts w:hint="eastAsia" w:hAnsi="仿宋_GB2312" w:cs="仿宋_GB2312"/>
          <w:sz w:val="32"/>
          <w:szCs w:val="32"/>
          <w:highlight w:val="none"/>
          <w:lang w:val="en-US" w:eastAsia="zh-CN"/>
        </w:rPr>
      </w:pPr>
      <w:r>
        <w:rPr>
          <w:rFonts w:hint="eastAsia" w:hAnsi="仿宋_GB2312" w:cs="仿宋_GB2312"/>
          <w:sz w:val="32"/>
          <w:szCs w:val="32"/>
          <w:highlight w:val="none"/>
          <w:lang w:val="en-US" w:eastAsia="zh-CN"/>
        </w:rPr>
        <w:t>2.政府采购违法行为风险知悉确认书</w:t>
      </w:r>
    </w:p>
    <w:p w14:paraId="5C07BCB1">
      <w:pPr>
        <w:pStyle w:val="9"/>
        <w:keepNext w:val="0"/>
        <w:keepLines w:val="0"/>
        <w:pageBreakBefore w:val="0"/>
        <w:widowControl w:val="0"/>
        <w:kinsoku/>
        <w:overflowPunct/>
        <w:topLinePunct w:val="0"/>
        <w:autoSpaceDE/>
        <w:autoSpaceDN/>
        <w:bidi w:val="0"/>
        <w:adjustRightInd/>
        <w:snapToGrid/>
        <w:spacing w:line="579" w:lineRule="exact"/>
        <w:ind w:firstLine="1600" w:firstLineChars="500"/>
        <w:textAlignment w:val="auto"/>
        <w:rPr>
          <w:rFonts w:hint="eastAsia" w:hAnsi="仿宋_GB2312" w:cs="仿宋_GB2312"/>
          <w:sz w:val="32"/>
          <w:szCs w:val="32"/>
          <w:highlight w:val="none"/>
          <w:lang w:val="en-US" w:eastAsia="zh-CN"/>
        </w:rPr>
      </w:pPr>
      <w:r>
        <w:rPr>
          <w:rFonts w:hint="eastAsia" w:hAnsi="仿宋_GB2312" w:cs="仿宋_GB2312"/>
          <w:sz w:val="32"/>
          <w:szCs w:val="32"/>
          <w:highlight w:val="none"/>
          <w:lang w:val="en-US" w:eastAsia="zh-CN"/>
        </w:rPr>
        <w:t>3.履约承诺函</w:t>
      </w:r>
    </w:p>
    <w:p w14:paraId="0C6D9A19">
      <w:pPr>
        <w:pStyle w:val="9"/>
        <w:ind w:firstLine="1600" w:firstLineChars="500"/>
        <w:rPr>
          <w:rFonts w:hint="eastAsia" w:ascii="仿宋_GB2312" w:hAnsi="仿宋_GB2312" w:eastAsia="仿宋_GB2312" w:cs="仿宋_GB2312"/>
          <w:bCs/>
          <w:sz w:val="32"/>
          <w:szCs w:val="32"/>
          <w:highlight w:val="none"/>
          <w:lang w:eastAsia="zh-CN"/>
        </w:rPr>
      </w:pPr>
      <w:r>
        <w:rPr>
          <w:rFonts w:hint="eastAsia" w:hAnsi="仿宋_GB2312" w:cs="仿宋_GB2312"/>
          <w:sz w:val="32"/>
          <w:szCs w:val="32"/>
          <w:highlight w:val="none"/>
          <w:lang w:val="en-US" w:eastAsia="zh-CN"/>
        </w:rPr>
        <w:t>4.诚信承诺函</w:t>
      </w:r>
      <w:r>
        <w:rPr>
          <w:rFonts w:hint="eastAsia" w:ascii="仿宋_GB2312" w:hAnsi="仿宋_GB2312" w:eastAsia="仿宋_GB2312" w:cs="仿宋_GB2312"/>
          <w:bCs/>
          <w:kern w:val="2"/>
          <w:sz w:val="32"/>
          <w:szCs w:val="32"/>
          <w:lang w:val="en-US" w:eastAsia="zh-CN" w:bidi="ar-SA"/>
        </w:rPr>
        <w:t xml:space="preserve">  </w:t>
      </w:r>
    </w:p>
    <w:p w14:paraId="2397EED9">
      <w:pPr>
        <w:pStyle w:val="3"/>
        <w:keepNext w:val="0"/>
        <w:keepLines w:val="0"/>
        <w:pageBreakBefore w:val="0"/>
        <w:widowControl w:val="0"/>
        <w:kinsoku/>
        <w:wordWrap/>
        <w:overflowPunct/>
        <w:topLinePunct w:val="0"/>
        <w:autoSpaceDE/>
        <w:autoSpaceDN/>
        <w:bidi w:val="0"/>
        <w:adjustRightInd w:val="0"/>
        <w:snapToGrid w:val="0"/>
        <w:spacing w:line="579" w:lineRule="exact"/>
        <w:ind w:firstLine="3840" w:firstLineChars="1200"/>
        <w:contextualSpacing/>
        <w:textAlignment w:val="auto"/>
        <w:rPr>
          <w:rFonts w:hint="eastAsia" w:ascii="仿宋_GB2312" w:hAnsi="仿宋_GB2312" w:eastAsia="仿宋_GB2312" w:cs="仿宋_GB2312"/>
          <w:bCs/>
          <w:sz w:val="32"/>
          <w:szCs w:val="32"/>
          <w:highlight w:val="none"/>
          <w:lang w:val="en-US" w:eastAsia="zh-CN"/>
        </w:rPr>
      </w:pPr>
    </w:p>
    <w:p w14:paraId="3EFB04D9">
      <w:pPr>
        <w:pStyle w:val="3"/>
        <w:keepNext w:val="0"/>
        <w:keepLines w:val="0"/>
        <w:pageBreakBefore w:val="0"/>
        <w:widowControl w:val="0"/>
        <w:kinsoku/>
        <w:wordWrap/>
        <w:overflowPunct/>
        <w:topLinePunct w:val="0"/>
        <w:autoSpaceDE/>
        <w:autoSpaceDN/>
        <w:bidi w:val="0"/>
        <w:adjustRightInd w:val="0"/>
        <w:snapToGrid w:val="0"/>
        <w:spacing w:line="579" w:lineRule="exact"/>
        <w:ind w:firstLine="3840" w:firstLineChars="1200"/>
        <w:contextualSpacing/>
        <w:textAlignment w:val="auto"/>
        <w:rPr>
          <w:rFonts w:hint="eastAsia" w:ascii="仿宋_GB2312" w:hAnsi="仿宋_GB2312" w:eastAsia="仿宋_GB2312" w:cs="仿宋_GB2312"/>
          <w:bCs/>
          <w:sz w:val="32"/>
          <w:szCs w:val="32"/>
          <w:highlight w:val="none"/>
          <w:lang w:val="en-US" w:eastAsia="zh-CN"/>
        </w:rPr>
      </w:pPr>
    </w:p>
    <w:p w14:paraId="6A1F2614">
      <w:pPr>
        <w:pStyle w:val="3"/>
        <w:keepNext w:val="0"/>
        <w:keepLines w:val="0"/>
        <w:pageBreakBefore w:val="0"/>
        <w:widowControl w:val="0"/>
        <w:kinsoku/>
        <w:wordWrap/>
        <w:overflowPunct/>
        <w:topLinePunct w:val="0"/>
        <w:autoSpaceDE/>
        <w:autoSpaceDN/>
        <w:bidi w:val="0"/>
        <w:adjustRightInd w:val="0"/>
        <w:snapToGrid w:val="0"/>
        <w:spacing w:line="579" w:lineRule="exact"/>
        <w:ind w:firstLine="3840" w:firstLineChars="1200"/>
        <w:contextualSpacing/>
        <w:textAlignment w:val="auto"/>
        <w:rPr>
          <w:rFonts w:hint="eastAsia" w:ascii="仿宋_GB2312" w:hAnsi="仿宋_GB2312" w:eastAsia="仿宋_GB2312" w:cs="仿宋_GB2312"/>
          <w:bCs/>
          <w:sz w:val="32"/>
          <w:szCs w:val="32"/>
          <w:highlight w:val="none"/>
          <w:lang w:val="en-US" w:eastAsia="zh-CN"/>
        </w:rPr>
      </w:pPr>
    </w:p>
    <w:p w14:paraId="5FFECAB0">
      <w:pPr>
        <w:pStyle w:val="3"/>
        <w:keepNext w:val="0"/>
        <w:keepLines w:val="0"/>
        <w:pageBreakBefore w:val="0"/>
        <w:widowControl w:val="0"/>
        <w:kinsoku/>
        <w:wordWrap/>
        <w:overflowPunct/>
        <w:topLinePunct w:val="0"/>
        <w:autoSpaceDE/>
        <w:autoSpaceDN/>
        <w:bidi w:val="0"/>
        <w:adjustRightInd w:val="0"/>
        <w:snapToGrid w:val="0"/>
        <w:spacing w:line="579" w:lineRule="exact"/>
        <w:ind w:firstLine="3840" w:firstLineChars="1200"/>
        <w:contextualSpacing/>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highlight w:val="none"/>
          <w:lang w:val="en-US" w:eastAsia="zh-CN"/>
        </w:rPr>
        <w:t xml:space="preserve"> </w:t>
      </w:r>
      <w:bookmarkStart w:id="16" w:name="OLE_LINK11"/>
      <w:r>
        <w:rPr>
          <w:rFonts w:hint="eastAsia" w:ascii="仿宋_GB2312" w:hAnsi="仿宋_GB2312" w:eastAsia="仿宋_GB2312" w:cs="仿宋_GB2312"/>
          <w:bCs/>
          <w:sz w:val="32"/>
          <w:szCs w:val="32"/>
        </w:rPr>
        <w:t>深圳市福田区沙头街道办事处</w:t>
      </w:r>
    </w:p>
    <w:p w14:paraId="3DD0770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仿宋_GB2312" w:hAnsi="仿宋_GB2312" w:eastAsia="仿宋_GB2312" w:cs="仿宋_GB2312"/>
          <w:bCs/>
          <w:sz w:val="32"/>
          <w:szCs w:val="32"/>
        </w:rPr>
      </w:pPr>
      <w:r>
        <w:rPr>
          <w:rFonts w:ascii="仿宋_GB2312" w:hAnsi="仿宋_GB2312" w:eastAsia="仿宋_GB2312" w:cs="仿宋_GB2312"/>
          <w:bCs/>
          <w:sz w:val="32"/>
          <w:szCs w:val="32"/>
        </w:rPr>
        <w:t xml:space="preserve">                             202</w:t>
      </w:r>
      <w:r>
        <w:rPr>
          <w:rFonts w:hint="eastAsia" w:ascii="仿宋_GB2312" w:hAnsi="仿宋_GB2312" w:eastAsia="仿宋_GB2312" w:cs="仿宋_GB2312"/>
          <w:bCs/>
          <w:sz w:val="32"/>
          <w:szCs w:val="32"/>
          <w:lang w:val="en-US" w:eastAsia="zh-CN"/>
        </w:rPr>
        <w:t>5</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4</w:t>
      </w:r>
      <w:r>
        <w:rPr>
          <w:rFonts w:hint="eastAsia" w:ascii="仿宋_GB2312" w:hAnsi="仿宋_GB2312" w:eastAsia="仿宋_GB2312" w:cs="仿宋_GB2312"/>
          <w:bCs/>
          <w:sz w:val="32"/>
          <w:szCs w:val="32"/>
        </w:rPr>
        <w:t>月</w:t>
      </w:r>
      <w:r>
        <w:rPr>
          <w:rFonts w:hint="eastAsia" w:ascii="仿宋_GB2312" w:hAnsi="仿宋_GB2312" w:eastAsia="仿宋_GB2312" w:cs="仿宋_GB2312"/>
          <w:bCs/>
          <w:sz w:val="32"/>
          <w:szCs w:val="32"/>
          <w:lang w:val="en-US" w:eastAsia="zh-CN"/>
        </w:rPr>
        <w:t>07</w:t>
      </w:r>
      <w:r>
        <w:rPr>
          <w:rFonts w:hint="eastAsia" w:ascii="仿宋_GB2312" w:hAnsi="仿宋_GB2312" w:eastAsia="仿宋_GB2312" w:cs="仿宋_GB2312"/>
          <w:bCs/>
          <w:sz w:val="32"/>
          <w:szCs w:val="32"/>
        </w:rPr>
        <w:t>日</w:t>
      </w:r>
      <w:bookmarkEnd w:id="16"/>
    </w:p>
    <w:p w14:paraId="7C504C49">
      <w:pPr>
        <w:pStyle w:val="2"/>
        <w:rPr>
          <w:rFonts w:hint="eastAsia" w:ascii="仿宋_GB2312" w:hAnsi="仿宋_GB2312" w:eastAsia="仿宋_GB2312" w:cs="仿宋_GB2312"/>
          <w:bCs/>
          <w:sz w:val="32"/>
          <w:szCs w:val="32"/>
        </w:rPr>
      </w:pPr>
    </w:p>
    <w:p w14:paraId="3580BCB5">
      <w:pPr>
        <w:rPr>
          <w:rFonts w:hint="eastAsia" w:ascii="仿宋_GB2312" w:hAnsi="仿宋_GB2312" w:eastAsia="仿宋_GB2312" w:cs="仿宋_GB2312"/>
          <w:bCs/>
          <w:sz w:val="32"/>
          <w:szCs w:val="32"/>
        </w:rPr>
      </w:pPr>
    </w:p>
    <w:p w14:paraId="2047160B">
      <w:pPr>
        <w:pStyle w:val="2"/>
        <w:rPr>
          <w:rFonts w:hint="eastAsia" w:ascii="仿宋_GB2312" w:hAnsi="仿宋_GB2312" w:eastAsia="仿宋_GB2312" w:cs="仿宋_GB2312"/>
          <w:bCs/>
          <w:sz w:val="32"/>
          <w:szCs w:val="32"/>
        </w:rPr>
      </w:pPr>
    </w:p>
    <w:p w14:paraId="0DB3D41B">
      <w:pPr>
        <w:rPr>
          <w:rFonts w:hint="eastAsia" w:ascii="仿宋_GB2312" w:hAnsi="仿宋_GB2312" w:eastAsia="仿宋_GB2312" w:cs="仿宋_GB2312"/>
          <w:bCs/>
          <w:sz w:val="32"/>
          <w:szCs w:val="32"/>
        </w:rPr>
      </w:pPr>
    </w:p>
    <w:p w14:paraId="1189004A">
      <w:pPr>
        <w:rPr>
          <w:rFonts w:hint="eastAsia" w:ascii="仿宋_GB2312" w:hAnsi="仿宋_GB2312" w:eastAsia="仿宋_GB2312" w:cs="仿宋_GB2312"/>
          <w:bCs/>
          <w:sz w:val="32"/>
          <w:szCs w:val="32"/>
        </w:rPr>
      </w:pPr>
    </w:p>
    <w:p w14:paraId="7072089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2BC232E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049F4E1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4B53FD0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324759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70A591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470899E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514ED2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0CFEF50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rPr>
        <w:t>附件</w:t>
      </w:r>
      <w:r>
        <w:rPr>
          <w:rFonts w:hint="eastAsia" w:ascii="黑体" w:hAnsi="黑体" w:eastAsia="黑体" w:cs="黑体"/>
          <w:bCs/>
          <w:sz w:val="32"/>
          <w:szCs w:val="32"/>
          <w:highlight w:val="none"/>
          <w:lang w:val="en-US" w:eastAsia="zh-CN"/>
        </w:rPr>
        <w:t>1</w:t>
      </w:r>
    </w:p>
    <w:p w14:paraId="1F90C106">
      <w:pPr>
        <w:keepNext w:val="0"/>
        <w:keepLines w:val="0"/>
        <w:pageBreakBefore w:val="0"/>
        <w:widowControl w:val="0"/>
        <w:kinsoku/>
        <w:wordWrap/>
        <w:overflowPunct/>
        <w:topLinePunct w:val="0"/>
        <w:autoSpaceDE/>
        <w:autoSpaceDN/>
        <w:bidi w:val="0"/>
        <w:adjustRightInd w:val="0"/>
        <w:snapToGrid w:val="0"/>
        <w:spacing w:before="0" w:after="0" w:line="240" w:lineRule="auto"/>
        <w:jc w:val="center"/>
        <w:textAlignment w:val="auto"/>
        <w:outlineLvl w:val="0"/>
        <w:rPr>
          <w:rFonts w:hint="eastAsia" w:ascii="方正小标宋简体" w:hAnsi="方正小标宋简体" w:eastAsia="方正小标宋简体" w:cs="方正小标宋简体"/>
          <w:b w:val="0"/>
          <w:bCs w:val="0"/>
          <w:kern w:val="2"/>
          <w:sz w:val="44"/>
          <w:szCs w:val="44"/>
          <w:lang w:val="en-US" w:eastAsia="zh-CN" w:bidi="ar-SA"/>
        </w:rPr>
      </w:pPr>
      <w:r>
        <w:rPr>
          <w:rFonts w:hint="eastAsia" w:ascii="方正小标宋简体" w:hAnsi="方正小标宋简体" w:eastAsia="方正小标宋简体" w:cs="方正小标宋简体"/>
          <w:b w:val="0"/>
          <w:bCs w:val="0"/>
          <w:kern w:val="2"/>
          <w:sz w:val="44"/>
          <w:szCs w:val="44"/>
          <w:lang w:val="en-US" w:eastAsia="zh-CN" w:bidi="ar-SA"/>
        </w:rPr>
        <w:t>供应商基本情况表</w:t>
      </w:r>
    </w:p>
    <w:p w14:paraId="10BA09B3">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填表单位：（加盖单位公章）</w:t>
      </w:r>
      <w:r>
        <w:rPr>
          <w:rFonts w:hint="eastAsia" w:ascii="仿宋_GB2312" w:hAnsi="仿宋_GB2312" w:eastAsia="仿宋_GB2312" w:cs="仿宋_GB2312"/>
          <w:sz w:val="28"/>
          <w:szCs w:val="28"/>
          <w:lang w:val="en-US" w:eastAsia="zh-CN"/>
        </w:rPr>
        <w:tab/>
      </w:r>
      <w:r>
        <w:rPr>
          <w:rFonts w:hint="eastAsia" w:ascii="仿宋_GB2312" w:hAnsi="仿宋_GB2312" w:eastAsia="仿宋_GB2312" w:cs="仿宋_GB2312"/>
          <w:sz w:val="28"/>
          <w:szCs w:val="28"/>
          <w:lang w:val="en-US" w:eastAsia="zh-CN"/>
        </w:rPr>
        <w:tab/>
      </w:r>
      <w:r>
        <w:rPr>
          <w:rFonts w:hint="eastAsia" w:ascii="仿宋_GB2312" w:hAnsi="仿宋_GB2312" w:eastAsia="仿宋_GB2312" w:cs="仿宋_GB2312"/>
          <w:sz w:val="28"/>
          <w:szCs w:val="28"/>
          <w:lang w:val="en-US" w:eastAsia="zh-CN"/>
        </w:rPr>
        <w:t xml:space="preserve">   填表日期：    年   月   日</w:t>
      </w:r>
    </w:p>
    <w:tbl>
      <w:tblPr>
        <w:tblStyle w:val="11"/>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5"/>
        <w:gridCol w:w="960"/>
        <w:gridCol w:w="1242"/>
        <w:gridCol w:w="1208"/>
        <w:gridCol w:w="791"/>
        <w:gridCol w:w="1200"/>
        <w:gridCol w:w="1500"/>
        <w:gridCol w:w="1485"/>
      </w:tblGrid>
      <w:tr w14:paraId="0CBA9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1515" w:type="dxa"/>
            <w:gridSpan w:val="2"/>
            <w:noWrap w:val="0"/>
            <w:vAlign w:val="center"/>
          </w:tcPr>
          <w:p w14:paraId="36D85C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采购人</w:t>
            </w:r>
          </w:p>
        </w:tc>
        <w:tc>
          <w:tcPr>
            <w:tcW w:w="2450" w:type="dxa"/>
            <w:gridSpan w:val="2"/>
            <w:noWrap w:val="0"/>
            <w:vAlign w:val="center"/>
          </w:tcPr>
          <w:p w14:paraId="0C8D1BBF">
            <w:pPr>
              <w:jc w:val="center"/>
              <w:rPr>
                <w:rFonts w:hint="eastAsia" w:ascii="仿宋_GB2312" w:hAnsi="仿宋_GB2312" w:eastAsia="仿宋_GB2312" w:cs="仿宋_GB2312"/>
                <w:sz w:val="24"/>
                <w:szCs w:val="24"/>
                <w:vertAlign w:val="baseline"/>
                <w:lang w:val="en-US" w:eastAsia="zh-CN"/>
              </w:rPr>
            </w:pPr>
          </w:p>
        </w:tc>
        <w:tc>
          <w:tcPr>
            <w:tcW w:w="1991" w:type="dxa"/>
            <w:gridSpan w:val="2"/>
            <w:noWrap w:val="0"/>
            <w:vAlign w:val="center"/>
          </w:tcPr>
          <w:p w14:paraId="359048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项目名称</w:t>
            </w:r>
          </w:p>
        </w:tc>
        <w:tc>
          <w:tcPr>
            <w:tcW w:w="2985" w:type="dxa"/>
            <w:gridSpan w:val="2"/>
            <w:noWrap w:val="0"/>
            <w:vAlign w:val="center"/>
          </w:tcPr>
          <w:p w14:paraId="28CCF825">
            <w:pPr>
              <w:jc w:val="center"/>
              <w:rPr>
                <w:rFonts w:hint="eastAsia" w:ascii="仿宋_GB2312" w:hAnsi="仿宋_GB2312" w:eastAsia="仿宋_GB2312" w:cs="仿宋_GB2312"/>
                <w:sz w:val="24"/>
                <w:szCs w:val="24"/>
                <w:vertAlign w:val="baseline"/>
                <w:lang w:val="en-US" w:eastAsia="zh-CN"/>
              </w:rPr>
            </w:pPr>
          </w:p>
        </w:tc>
      </w:tr>
      <w:tr w14:paraId="55C44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5" w:type="dxa"/>
            <w:gridSpan w:val="2"/>
            <w:noWrap w:val="0"/>
            <w:vAlign w:val="center"/>
          </w:tcPr>
          <w:p w14:paraId="4EC20E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投标（响应）供应商</w:t>
            </w:r>
          </w:p>
        </w:tc>
        <w:tc>
          <w:tcPr>
            <w:tcW w:w="2450" w:type="dxa"/>
            <w:gridSpan w:val="2"/>
            <w:noWrap w:val="0"/>
            <w:vAlign w:val="center"/>
          </w:tcPr>
          <w:p w14:paraId="332AE581">
            <w:pPr>
              <w:jc w:val="center"/>
              <w:rPr>
                <w:rFonts w:hint="eastAsia" w:ascii="仿宋_GB2312" w:hAnsi="仿宋_GB2312" w:eastAsia="仿宋_GB2312" w:cs="仿宋_GB2312"/>
                <w:sz w:val="24"/>
                <w:szCs w:val="24"/>
                <w:vertAlign w:val="baseline"/>
                <w:lang w:val="en-US" w:eastAsia="zh-CN"/>
              </w:rPr>
            </w:pPr>
          </w:p>
        </w:tc>
        <w:tc>
          <w:tcPr>
            <w:tcW w:w="1991" w:type="dxa"/>
            <w:gridSpan w:val="2"/>
            <w:noWrap w:val="0"/>
            <w:vAlign w:val="center"/>
          </w:tcPr>
          <w:p w14:paraId="06179A8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供应商统一社会信用代码</w:t>
            </w:r>
          </w:p>
        </w:tc>
        <w:tc>
          <w:tcPr>
            <w:tcW w:w="2985" w:type="dxa"/>
            <w:gridSpan w:val="2"/>
            <w:noWrap w:val="0"/>
            <w:vAlign w:val="center"/>
          </w:tcPr>
          <w:p w14:paraId="7379DA9B">
            <w:pPr>
              <w:jc w:val="center"/>
              <w:rPr>
                <w:rFonts w:hint="eastAsia" w:ascii="仿宋_GB2312" w:hAnsi="仿宋_GB2312" w:eastAsia="仿宋_GB2312" w:cs="仿宋_GB2312"/>
                <w:sz w:val="24"/>
                <w:szCs w:val="24"/>
                <w:vertAlign w:val="baseline"/>
                <w:lang w:val="en-US" w:eastAsia="zh-CN"/>
              </w:rPr>
            </w:pPr>
          </w:p>
        </w:tc>
      </w:tr>
      <w:tr w14:paraId="643EF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8941" w:type="dxa"/>
            <w:gridSpan w:val="8"/>
            <w:noWrap w:val="0"/>
            <w:vAlign w:val="center"/>
          </w:tcPr>
          <w:p w14:paraId="621C53CE">
            <w:pPr>
              <w:jc w:val="center"/>
              <w:rPr>
                <w:rFonts w:hint="eastAsia" w:ascii="仿宋_GB2312" w:hAnsi="仿宋_GB2312" w:eastAsia="仿宋_GB2312" w:cs="仿宋_GB2312"/>
                <w:sz w:val="24"/>
                <w:szCs w:val="24"/>
                <w:vertAlign w:val="baseline"/>
                <w:lang w:val="en-US" w:eastAsia="zh-CN"/>
              </w:rPr>
            </w:pPr>
            <w:r>
              <w:rPr>
                <w:rFonts w:hint="eastAsia" w:ascii="黑体" w:hAnsi="黑体" w:eastAsia="黑体" w:cs="黑体"/>
                <w:b w:val="0"/>
                <w:bCs w:val="0"/>
                <w:sz w:val="24"/>
                <w:szCs w:val="24"/>
                <w:vertAlign w:val="baseline"/>
                <w:lang w:val="en-US" w:eastAsia="zh-CN"/>
              </w:rPr>
              <w:t>投标（响应）供应商相关人员情况</w:t>
            </w:r>
          </w:p>
        </w:tc>
      </w:tr>
      <w:tr w14:paraId="055A6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Borders>
              <w:bottom w:val="single" w:color="auto" w:sz="4" w:space="0"/>
            </w:tcBorders>
            <w:noWrap w:val="0"/>
            <w:vAlign w:val="center"/>
          </w:tcPr>
          <w:p w14:paraId="65FCB25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序号</w:t>
            </w:r>
          </w:p>
        </w:tc>
        <w:tc>
          <w:tcPr>
            <w:tcW w:w="2202" w:type="dxa"/>
            <w:gridSpan w:val="2"/>
            <w:tcBorders>
              <w:bottom w:val="single" w:color="auto" w:sz="4" w:space="0"/>
            </w:tcBorders>
            <w:noWrap w:val="0"/>
            <w:vAlign w:val="center"/>
          </w:tcPr>
          <w:p w14:paraId="24849F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职务</w:t>
            </w:r>
          </w:p>
        </w:tc>
        <w:tc>
          <w:tcPr>
            <w:tcW w:w="1208" w:type="dxa"/>
            <w:tcBorders>
              <w:bottom w:val="single" w:color="auto" w:sz="4" w:space="0"/>
            </w:tcBorders>
            <w:noWrap w:val="0"/>
            <w:vAlign w:val="center"/>
          </w:tcPr>
          <w:p w14:paraId="52B962A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姓名</w:t>
            </w:r>
          </w:p>
        </w:tc>
        <w:tc>
          <w:tcPr>
            <w:tcW w:w="1991" w:type="dxa"/>
            <w:gridSpan w:val="2"/>
            <w:tcBorders>
              <w:bottom w:val="single" w:color="auto" w:sz="4" w:space="0"/>
            </w:tcBorders>
            <w:noWrap w:val="0"/>
            <w:vAlign w:val="center"/>
          </w:tcPr>
          <w:p w14:paraId="448CED6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身份证号码</w:t>
            </w:r>
          </w:p>
        </w:tc>
        <w:tc>
          <w:tcPr>
            <w:tcW w:w="1500" w:type="dxa"/>
            <w:tcBorders>
              <w:bottom w:val="single" w:color="auto" w:sz="4" w:space="0"/>
            </w:tcBorders>
            <w:noWrap w:val="0"/>
            <w:vAlign w:val="center"/>
          </w:tcPr>
          <w:p w14:paraId="3FF9F1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劳动合同</w:t>
            </w:r>
          </w:p>
          <w:p w14:paraId="4D52A52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关系单位</w:t>
            </w:r>
          </w:p>
        </w:tc>
        <w:tc>
          <w:tcPr>
            <w:tcW w:w="1485" w:type="dxa"/>
            <w:tcBorders>
              <w:bottom w:val="single" w:color="auto" w:sz="4" w:space="0"/>
            </w:tcBorders>
            <w:noWrap w:val="0"/>
            <w:vAlign w:val="center"/>
          </w:tcPr>
          <w:p w14:paraId="3AA118C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缴纳社会</w:t>
            </w:r>
          </w:p>
          <w:p w14:paraId="244D7AB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保险单位</w:t>
            </w:r>
          </w:p>
        </w:tc>
      </w:tr>
      <w:tr w14:paraId="01CE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Borders>
              <w:top w:val="single" w:color="auto" w:sz="4" w:space="0"/>
              <w:left w:val="single" w:color="auto" w:sz="4" w:space="0"/>
              <w:bottom w:val="single" w:color="auto" w:sz="4" w:space="0"/>
              <w:right w:val="single" w:color="auto" w:sz="4" w:space="0"/>
            </w:tcBorders>
            <w:noWrap w:val="0"/>
            <w:vAlign w:val="center"/>
          </w:tcPr>
          <w:p w14:paraId="59A6B0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2202" w:type="dxa"/>
            <w:gridSpan w:val="2"/>
            <w:tcBorders>
              <w:top w:val="single" w:color="auto" w:sz="4" w:space="0"/>
              <w:left w:val="single" w:color="auto" w:sz="4" w:space="0"/>
              <w:bottom w:val="single" w:color="auto" w:sz="4" w:space="0"/>
              <w:right w:val="single" w:color="auto" w:sz="4" w:space="0"/>
            </w:tcBorders>
            <w:noWrap w:val="0"/>
            <w:vAlign w:val="center"/>
          </w:tcPr>
          <w:p w14:paraId="172E94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法定代表人/单位负责人/主要经营负责人</w:t>
            </w:r>
          </w:p>
        </w:tc>
        <w:tc>
          <w:tcPr>
            <w:tcW w:w="1208" w:type="dxa"/>
            <w:tcBorders>
              <w:top w:val="single" w:color="auto" w:sz="4" w:space="0"/>
              <w:left w:val="single" w:color="auto" w:sz="4" w:space="0"/>
              <w:bottom w:val="single" w:color="auto" w:sz="4" w:space="0"/>
              <w:right w:val="single" w:color="auto" w:sz="4" w:space="0"/>
            </w:tcBorders>
            <w:noWrap w:val="0"/>
            <w:vAlign w:val="center"/>
          </w:tcPr>
          <w:p w14:paraId="6BCC6582">
            <w:pPr>
              <w:jc w:val="center"/>
              <w:rPr>
                <w:rFonts w:hint="eastAsia" w:ascii="仿宋_GB2312" w:hAnsi="仿宋_GB2312" w:eastAsia="仿宋_GB2312" w:cs="仿宋_GB2312"/>
                <w:sz w:val="24"/>
                <w:szCs w:val="24"/>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14:paraId="56D80828">
            <w:pPr>
              <w:jc w:val="center"/>
              <w:rPr>
                <w:rFonts w:hint="eastAsia" w:ascii="仿宋_GB2312" w:hAnsi="仿宋_GB2312" w:eastAsia="仿宋_GB2312" w:cs="仿宋_GB2312"/>
                <w:sz w:val="24"/>
                <w:szCs w:val="24"/>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4B0285F4">
            <w:pPr>
              <w:jc w:val="center"/>
              <w:rPr>
                <w:rFonts w:hint="eastAsia" w:ascii="仿宋_GB2312" w:hAnsi="仿宋_GB2312" w:eastAsia="仿宋_GB2312" w:cs="仿宋_GB2312"/>
                <w:sz w:val="24"/>
                <w:szCs w:val="24"/>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3BD322DD">
            <w:pPr>
              <w:jc w:val="center"/>
              <w:rPr>
                <w:rFonts w:hint="eastAsia" w:ascii="仿宋_GB2312" w:hAnsi="仿宋_GB2312" w:eastAsia="仿宋_GB2312" w:cs="仿宋_GB2312"/>
                <w:sz w:val="24"/>
                <w:szCs w:val="24"/>
                <w:vertAlign w:val="baseline"/>
                <w:lang w:val="en-US" w:eastAsia="zh-CN"/>
              </w:rPr>
            </w:pPr>
          </w:p>
        </w:tc>
      </w:tr>
      <w:tr w14:paraId="520DD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Borders>
              <w:top w:val="single" w:color="auto" w:sz="4" w:space="0"/>
              <w:left w:val="single" w:color="auto" w:sz="4" w:space="0"/>
              <w:bottom w:val="single" w:color="auto" w:sz="4" w:space="0"/>
              <w:right w:val="single" w:color="auto" w:sz="4" w:space="0"/>
            </w:tcBorders>
            <w:noWrap w:val="0"/>
            <w:vAlign w:val="center"/>
          </w:tcPr>
          <w:p w14:paraId="53E71D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2202" w:type="dxa"/>
            <w:gridSpan w:val="2"/>
            <w:tcBorders>
              <w:top w:val="single" w:color="auto" w:sz="4" w:space="0"/>
              <w:left w:val="single" w:color="auto" w:sz="4" w:space="0"/>
              <w:bottom w:val="single" w:color="auto" w:sz="4" w:space="0"/>
              <w:right w:val="single" w:color="auto" w:sz="4" w:space="0"/>
            </w:tcBorders>
            <w:noWrap w:val="0"/>
            <w:vAlign w:val="center"/>
          </w:tcPr>
          <w:p w14:paraId="4550D3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项目投标授权代表人</w:t>
            </w:r>
          </w:p>
        </w:tc>
        <w:tc>
          <w:tcPr>
            <w:tcW w:w="1208" w:type="dxa"/>
            <w:tcBorders>
              <w:top w:val="single" w:color="auto" w:sz="4" w:space="0"/>
              <w:left w:val="single" w:color="auto" w:sz="4" w:space="0"/>
              <w:bottom w:val="single" w:color="auto" w:sz="4" w:space="0"/>
              <w:right w:val="single" w:color="auto" w:sz="4" w:space="0"/>
            </w:tcBorders>
            <w:noWrap w:val="0"/>
            <w:vAlign w:val="center"/>
          </w:tcPr>
          <w:p w14:paraId="5C26312C">
            <w:pPr>
              <w:jc w:val="center"/>
              <w:rPr>
                <w:rFonts w:hint="eastAsia" w:ascii="仿宋_GB2312" w:hAnsi="仿宋_GB2312" w:eastAsia="仿宋_GB2312" w:cs="仿宋_GB2312"/>
                <w:sz w:val="24"/>
                <w:szCs w:val="24"/>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14:paraId="2395E1E9">
            <w:pPr>
              <w:jc w:val="center"/>
              <w:rPr>
                <w:rFonts w:hint="eastAsia" w:ascii="仿宋_GB2312" w:hAnsi="仿宋_GB2312" w:eastAsia="仿宋_GB2312" w:cs="仿宋_GB2312"/>
                <w:sz w:val="24"/>
                <w:szCs w:val="24"/>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B28CAB1">
            <w:pPr>
              <w:jc w:val="center"/>
              <w:rPr>
                <w:rFonts w:hint="eastAsia" w:ascii="仿宋_GB2312" w:hAnsi="仿宋_GB2312" w:eastAsia="仿宋_GB2312" w:cs="仿宋_GB2312"/>
                <w:sz w:val="24"/>
                <w:szCs w:val="24"/>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735945AC">
            <w:pPr>
              <w:jc w:val="center"/>
              <w:rPr>
                <w:rFonts w:hint="eastAsia" w:ascii="仿宋_GB2312" w:hAnsi="仿宋_GB2312" w:eastAsia="仿宋_GB2312" w:cs="仿宋_GB2312"/>
                <w:sz w:val="24"/>
                <w:szCs w:val="24"/>
                <w:vertAlign w:val="baseline"/>
                <w:lang w:val="en-US" w:eastAsia="zh-CN"/>
              </w:rPr>
            </w:pPr>
          </w:p>
        </w:tc>
      </w:tr>
      <w:tr w14:paraId="3148F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55" w:type="dxa"/>
            <w:tcBorders>
              <w:top w:val="single" w:color="auto" w:sz="4" w:space="0"/>
            </w:tcBorders>
            <w:noWrap w:val="0"/>
            <w:vAlign w:val="center"/>
          </w:tcPr>
          <w:p w14:paraId="542B7AD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2202" w:type="dxa"/>
            <w:gridSpan w:val="2"/>
            <w:tcBorders>
              <w:top w:val="single" w:color="auto" w:sz="4" w:space="0"/>
            </w:tcBorders>
            <w:noWrap w:val="0"/>
            <w:vAlign w:val="center"/>
          </w:tcPr>
          <w:p w14:paraId="671298A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项目负责人</w:t>
            </w:r>
          </w:p>
        </w:tc>
        <w:tc>
          <w:tcPr>
            <w:tcW w:w="1208" w:type="dxa"/>
            <w:tcBorders>
              <w:top w:val="single" w:color="auto" w:sz="4" w:space="0"/>
            </w:tcBorders>
            <w:noWrap w:val="0"/>
            <w:vAlign w:val="center"/>
          </w:tcPr>
          <w:p w14:paraId="7C988F2A">
            <w:pPr>
              <w:jc w:val="center"/>
              <w:rPr>
                <w:rFonts w:hint="eastAsia" w:ascii="仿宋_GB2312" w:hAnsi="仿宋_GB2312" w:eastAsia="仿宋_GB2312" w:cs="仿宋_GB2312"/>
                <w:sz w:val="24"/>
                <w:szCs w:val="24"/>
                <w:vertAlign w:val="baseline"/>
                <w:lang w:val="en-US" w:eastAsia="zh-CN"/>
              </w:rPr>
            </w:pPr>
          </w:p>
        </w:tc>
        <w:tc>
          <w:tcPr>
            <w:tcW w:w="1991" w:type="dxa"/>
            <w:gridSpan w:val="2"/>
            <w:tcBorders>
              <w:top w:val="single" w:color="auto" w:sz="4" w:space="0"/>
            </w:tcBorders>
            <w:noWrap w:val="0"/>
            <w:vAlign w:val="center"/>
          </w:tcPr>
          <w:p w14:paraId="791D75F2">
            <w:pPr>
              <w:jc w:val="center"/>
              <w:rPr>
                <w:rFonts w:hint="eastAsia" w:ascii="仿宋_GB2312" w:hAnsi="仿宋_GB2312" w:eastAsia="仿宋_GB2312" w:cs="仿宋_GB2312"/>
                <w:sz w:val="24"/>
                <w:szCs w:val="24"/>
                <w:vertAlign w:val="baseline"/>
                <w:lang w:val="en-US" w:eastAsia="zh-CN"/>
              </w:rPr>
            </w:pPr>
          </w:p>
        </w:tc>
        <w:tc>
          <w:tcPr>
            <w:tcW w:w="1500" w:type="dxa"/>
            <w:tcBorders>
              <w:top w:val="single" w:color="auto" w:sz="4" w:space="0"/>
            </w:tcBorders>
            <w:noWrap w:val="0"/>
            <w:vAlign w:val="center"/>
          </w:tcPr>
          <w:p w14:paraId="6A6C6793">
            <w:pPr>
              <w:jc w:val="center"/>
              <w:rPr>
                <w:rFonts w:hint="eastAsia" w:ascii="仿宋_GB2312" w:hAnsi="仿宋_GB2312" w:eastAsia="仿宋_GB2312" w:cs="仿宋_GB2312"/>
                <w:sz w:val="24"/>
                <w:szCs w:val="24"/>
                <w:vertAlign w:val="baseline"/>
                <w:lang w:val="en-US" w:eastAsia="zh-CN"/>
              </w:rPr>
            </w:pPr>
          </w:p>
        </w:tc>
        <w:tc>
          <w:tcPr>
            <w:tcW w:w="1485" w:type="dxa"/>
            <w:tcBorders>
              <w:top w:val="single" w:color="auto" w:sz="4" w:space="0"/>
            </w:tcBorders>
            <w:noWrap w:val="0"/>
            <w:vAlign w:val="center"/>
          </w:tcPr>
          <w:p w14:paraId="21BAAE03">
            <w:pPr>
              <w:jc w:val="center"/>
              <w:rPr>
                <w:rFonts w:hint="eastAsia" w:ascii="仿宋_GB2312" w:hAnsi="仿宋_GB2312" w:eastAsia="仿宋_GB2312" w:cs="仿宋_GB2312"/>
                <w:sz w:val="24"/>
                <w:szCs w:val="24"/>
                <w:vertAlign w:val="baseline"/>
                <w:lang w:val="en-US" w:eastAsia="zh-CN"/>
              </w:rPr>
            </w:pPr>
          </w:p>
        </w:tc>
      </w:tr>
      <w:tr w14:paraId="7E91B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55" w:type="dxa"/>
            <w:noWrap w:val="0"/>
            <w:vAlign w:val="center"/>
          </w:tcPr>
          <w:p w14:paraId="5C42533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p>
        </w:tc>
        <w:tc>
          <w:tcPr>
            <w:tcW w:w="2202" w:type="dxa"/>
            <w:gridSpan w:val="2"/>
            <w:noWrap w:val="0"/>
            <w:vAlign w:val="center"/>
          </w:tcPr>
          <w:p w14:paraId="45799A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主要技术人员</w:t>
            </w:r>
          </w:p>
        </w:tc>
        <w:tc>
          <w:tcPr>
            <w:tcW w:w="1208" w:type="dxa"/>
            <w:noWrap w:val="0"/>
            <w:vAlign w:val="center"/>
          </w:tcPr>
          <w:p w14:paraId="04FF1BAC">
            <w:pPr>
              <w:jc w:val="center"/>
              <w:rPr>
                <w:rFonts w:hint="eastAsia" w:ascii="仿宋_GB2312" w:hAnsi="仿宋_GB2312" w:eastAsia="仿宋_GB2312" w:cs="仿宋_GB2312"/>
                <w:sz w:val="24"/>
                <w:szCs w:val="24"/>
                <w:vertAlign w:val="baseline"/>
                <w:lang w:val="en-US" w:eastAsia="zh-CN"/>
              </w:rPr>
            </w:pPr>
          </w:p>
        </w:tc>
        <w:tc>
          <w:tcPr>
            <w:tcW w:w="1991" w:type="dxa"/>
            <w:gridSpan w:val="2"/>
            <w:noWrap w:val="0"/>
            <w:vAlign w:val="center"/>
          </w:tcPr>
          <w:p w14:paraId="4D8AF74F">
            <w:pPr>
              <w:jc w:val="center"/>
              <w:rPr>
                <w:rFonts w:hint="eastAsia" w:ascii="仿宋_GB2312" w:hAnsi="仿宋_GB2312" w:eastAsia="仿宋_GB2312" w:cs="仿宋_GB2312"/>
                <w:sz w:val="24"/>
                <w:szCs w:val="24"/>
                <w:vertAlign w:val="baseline"/>
                <w:lang w:val="en-US" w:eastAsia="zh-CN"/>
              </w:rPr>
            </w:pPr>
          </w:p>
        </w:tc>
        <w:tc>
          <w:tcPr>
            <w:tcW w:w="1500" w:type="dxa"/>
            <w:noWrap w:val="0"/>
            <w:vAlign w:val="center"/>
          </w:tcPr>
          <w:p w14:paraId="390DF032">
            <w:pPr>
              <w:jc w:val="center"/>
              <w:rPr>
                <w:rFonts w:hint="eastAsia" w:ascii="仿宋_GB2312" w:hAnsi="仿宋_GB2312" w:eastAsia="仿宋_GB2312" w:cs="仿宋_GB2312"/>
                <w:sz w:val="24"/>
                <w:szCs w:val="24"/>
                <w:vertAlign w:val="baseline"/>
                <w:lang w:val="en-US" w:eastAsia="zh-CN"/>
              </w:rPr>
            </w:pPr>
          </w:p>
        </w:tc>
        <w:tc>
          <w:tcPr>
            <w:tcW w:w="1485" w:type="dxa"/>
            <w:noWrap w:val="0"/>
            <w:vAlign w:val="center"/>
          </w:tcPr>
          <w:p w14:paraId="0B030853">
            <w:pPr>
              <w:jc w:val="center"/>
              <w:rPr>
                <w:rFonts w:hint="eastAsia" w:ascii="仿宋_GB2312" w:hAnsi="仿宋_GB2312" w:eastAsia="仿宋_GB2312" w:cs="仿宋_GB2312"/>
                <w:sz w:val="24"/>
                <w:szCs w:val="24"/>
                <w:vertAlign w:val="baseline"/>
                <w:lang w:val="en-US" w:eastAsia="zh-CN"/>
              </w:rPr>
            </w:pPr>
          </w:p>
        </w:tc>
      </w:tr>
      <w:tr w14:paraId="4390C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55" w:type="dxa"/>
            <w:noWrap w:val="0"/>
            <w:vAlign w:val="center"/>
          </w:tcPr>
          <w:p w14:paraId="5FB7D4C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p>
        </w:tc>
        <w:tc>
          <w:tcPr>
            <w:tcW w:w="2202" w:type="dxa"/>
            <w:gridSpan w:val="2"/>
            <w:noWrap w:val="0"/>
            <w:vAlign w:val="center"/>
          </w:tcPr>
          <w:p w14:paraId="0BE3154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投标文件编制人员</w:t>
            </w:r>
          </w:p>
        </w:tc>
        <w:tc>
          <w:tcPr>
            <w:tcW w:w="1208" w:type="dxa"/>
            <w:noWrap w:val="0"/>
            <w:vAlign w:val="center"/>
          </w:tcPr>
          <w:p w14:paraId="1F915B30">
            <w:pPr>
              <w:jc w:val="center"/>
              <w:rPr>
                <w:rFonts w:hint="eastAsia" w:ascii="仿宋_GB2312" w:hAnsi="仿宋_GB2312" w:eastAsia="仿宋_GB2312" w:cs="仿宋_GB2312"/>
                <w:sz w:val="24"/>
                <w:szCs w:val="24"/>
                <w:vertAlign w:val="baseline"/>
                <w:lang w:val="en-US" w:eastAsia="zh-CN"/>
              </w:rPr>
            </w:pPr>
          </w:p>
        </w:tc>
        <w:tc>
          <w:tcPr>
            <w:tcW w:w="1991" w:type="dxa"/>
            <w:gridSpan w:val="2"/>
            <w:noWrap w:val="0"/>
            <w:vAlign w:val="center"/>
          </w:tcPr>
          <w:p w14:paraId="43C62644">
            <w:pPr>
              <w:jc w:val="center"/>
              <w:rPr>
                <w:rFonts w:hint="eastAsia" w:ascii="仿宋_GB2312" w:hAnsi="仿宋_GB2312" w:eastAsia="仿宋_GB2312" w:cs="仿宋_GB2312"/>
                <w:sz w:val="24"/>
                <w:szCs w:val="24"/>
                <w:vertAlign w:val="baseline"/>
                <w:lang w:val="en-US" w:eastAsia="zh-CN"/>
              </w:rPr>
            </w:pPr>
          </w:p>
        </w:tc>
        <w:tc>
          <w:tcPr>
            <w:tcW w:w="1500" w:type="dxa"/>
            <w:noWrap w:val="0"/>
            <w:vAlign w:val="center"/>
          </w:tcPr>
          <w:p w14:paraId="6B994FBC">
            <w:pPr>
              <w:jc w:val="center"/>
              <w:rPr>
                <w:rFonts w:hint="eastAsia" w:ascii="仿宋_GB2312" w:hAnsi="仿宋_GB2312" w:eastAsia="仿宋_GB2312" w:cs="仿宋_GB2312"/>
                <w:sz w:val="24"/>
                <w:szCs w:val="24"/>
                <w:vertAlign w:val="baseline"/>
                <w:lang w:val="en-US" w:eastAsia="zh-CN"/>
              </w:rPr>
            </w:pPr>
          </w:p>
        </w:tc>
        <w:tc>
          <w:tcPr>
            <w:tcW w:w="1485" w:type="dxa"/>
            <w:noWrap w:val="0"/>
            <w:vAlign w:val="center"/>
          </w:tcPr>
          <w:p w14:paraId="21D1E665">
            <w:pPr>
              <w:jc w:val="center"/>
              <w:rPr>
                <w:rFonts w:hint="eastAsia" w:ascii="仿宋_GB2312" w:hAnsi="仿宋_GB2312" w:eastAsia="仿宋_GB2312" w:cs="仿宋_GB2312"/>
                <w:sz w:val="24"/>
                <w:szCs w:val="24"/>
                <w:vertAlign w:val="baseline"/>
                <w:lang w:val="en-US" w:eastAsia="zh-CN"/>
              </w:rPr>
            </w:pPr>
          </w:p>
        </w:tc>
      </w:tr>
      <w:tr w14:paraId="4B066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941" w:type="dxa"/>
            <w:gridSpan w:val="8"/>
            <w:noWrap w:val="0"/>
            <w:vAlign w:val="center"/>
          </w:tcPr>
          <w:p w14:paraId="61299D07">
            <w:pPr>
              <w:jc w:val="left"/>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b/>
                <w:bCs/>
                <w:color w:val="auto"/>
                <w:sz w:val="24"/>
                <w:szCs w:val="24"/>
                <w:highlight w:val="none"/>
                <w:vertAlign w:val="baseline"/>
                <w:lang w:val="en-US" w:eastAsia="zh-CN"/>
              </w:rPr>
              <w:t>说明：同一职务有多人担任（如主要技术人员），应分行填写。</w:t>
            </w:r>
          </w:p>
        </w:tc>
      </w:tr>
      <w:tr w14:paraId="1C0BC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941" w:type="dxa"/>
            <w:gridSpan w:val="8"/>
            <w:noWrap w:val="0"/>
            <w:vAlign w:val="center"/>
          </w:tcPr>
          <w:p w14:paraId="18196939">
            <w:pPr>
              <w:jc w:val="center"/>
              <w:rPr>
                <w:rFonts w:hint="eastAsia" w:ascii="仿宋_GB2312" w:hAnsi="仿宋_GB2312" w:eastAsia="仿宋_GB2312" w:cs="仿宋_GB2312"/>
                <w:b/>
                <w:bCs/>
                <w:sz w:val="24"/>
                <w:szCs w:val="24"/>
                <w:vertAlign w:val="baseline"/>
                <w:lang w:val="en-US" w:eastAsia="zh-CN"/>
              </w:rPr>
            </w:pPr>
            <w:r>
              <w:rPr>
                <w:rFonts w:hint="eastAsia" w:ascii="黑体" w:hAnsi="黑体" w:eastAsia="黑体" w:cs="黑体"/>
                <w:sz w:val="24"/>
                <w:szCs w:val="24"/>
                <w:lang w:val="en-US" w:eastAsia="zh-CN"/>
              </w:rPr>
              <w:t>投标（响应）供应商关联关系情况</w:t>
            </w:r>
          </w:p>
        </w:tc>
      </w:tr>
      <w:tr w14:paraId="07B4E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Borders>
              <w:bottom w:val="single" w:color="auto" w:sz="4" w:space="0"/>
            </w:tcBorders>
            <w:noWrap w:val="0"/>
            <w:vAlign w:val="center"/>
          </w:tcPr>
          <w:p w14:paraId="614FEAB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序号</w:t>
            </w:r>
          </w:p>
        </w:tc>
        <w:tc>
          <w:tcPr>
            <w:tcW w:w="2202" w:type="dxa"/>
            <w:gridSpan w:val="2"/>
            <w:tcBorders>
              <w:bottom w:val="single" w:color="auto" w:sz="4" w:space="0"/>
            </w:tcBorders>
            <w:noWrap w:val="0"/>
            <w:vAlign w:val="center"/>
          </w:tcPr>
          <w:p w14:paraId="564BF9B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关联关系类型</w:t>
            </w:r>
          </w:p>
        </w:tc>
        <w:tc>
          <w:tcPr>
            <w:tcW w:w="1999" w:type="dxa"/>
            <w:gridSpan w:val="2"/>
            <w:tcBorders>
              <w:bottom w:val="single" w:color="auto" w:sz="4" w:space="0"/>
            </w:tcBorders>
            <w:noWrap w:val="0"/>
            <w:vAlign w:val="center"/>
          </w:tcPr>
          <w:p w14:paraId="2273F47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关联主体名称</w:t>
            </w:r>
          </w:p>
        </w:tc>
        <w:tc>
          <w:tcPr>
            <w:tcW w:w="4185" w:type="dxa"/>
            <w:gridSpan w:val="3"/>
            <w:tcBorders>
              <w:bottom w:val="single" w:color="auto" w:sz="4" w:space="0"/>
            </w:tcBorders>
            <w:noWrap w:val="0"/>
            <w:vAlign w:val="center"/>
          </w:tcPr>
          <w:p w14:paraId="69930EE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备注</w:t>
            </w:r>
          </w:p>
        </w:tc>
      </w:tr>
      <w:tr w14:paraId="45C43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Borders>
              <w:bottom w:val="single" w:color="auto" w:sz="4" w:space="0"/>
            </w:tcBorders>
            <w:noWrap w:val="0"/>
            <w:vAlign w:val="center"/>
          </w:tcPr>
          <w:p w14:paraId="624431C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2202" w:type="dxa"/>
            <w:gridSpan w:val="2"/>
            <w:tcBorders>
              <w:bottom w:val="single" w:color="auto" w:sz="4" w:space="0"/>
            </w:tcBorders>
            <w:noWrap w:val="0"/>
            <w:vAlign w:val="center"/>
          </w:tcPr>
          <w:p w14:paraId="5799BCD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控股股东</w:t>
            </w:r>
          </w:p>
        </w:tc>
        <w:tc>
          <w:tcPr>
            <w:tcW w:w="1999" w:type="dxa"/>
            <w:gridSpan w:val="2"/>
            <w:tcBorders>
              <w:bottom w:val="single" w:color="auto" w:sz="4" w:space="0"/>
            </w:tcBorders>
            <w:noWrap w:val="0"/>
            <w:vAlign w:val="center"/>
          </w:tcPr>
          <w:p w14:paraId="741731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p>
        </w:tc>
        <w:tc>
          <w:tcPr>
            <w:tcW w:w="4185" w:type="dxa"/>
            <w:gridSpan w:val="3"/>
            <w:tcBorders>
              <w:bottom w:val="single" w:color="auto" w:sz="4" w:space="0"/>
            </w:tcBorders>
            <w:noWrap w:val="0"/>
            <w:vAlign w:val="center"/>
          </w:tcPr>
          <w:p w14:paraId="48B900E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2DACD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Borders>
              <w:bottom w:val="single" w:color="auto" w:sz="4" w:space="0"/>
            </w:tcBorders>
            <w:noWrap w:val="0"/>
            <w:vAlign w:val="center"/>
          </w:tcPr>
          <w:p w14:paraId="663676E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2202" w:type="dxa"/>
            <w:gridSpan w:val="2"/>
            <w:tcBorders>
              <w:bottom w:val="single" w:color="auto" w:sz="4" w:space="0"/>
            </w:tcBorders>
            <w:noWrap w:val="0"/>
            <w:vAlign w:val="center"/>
          </w:tcPr>
          <w:p w14:paraId="0415919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管理关系</w:t>
            </w:r>
          </w:p>
        </w:tc>
        <w:tc>
          <w:tcPr>
            <w:tcW w:w="1999" w:type="dxa"/>
            <w:gridSpan w:val="2"/>
            <w:tcBorders>
              <w:bottom w:val="single" w:color="auto" w:sz="4" w:space="0"/>
            </w:tcBorders>
            <w:noWrap w:val="0"/>
            <w:vAlign w:val="center"/>
          </w:tcPr>
          <w:p w14:paraId="0B7B83E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p>
        </w:tc>
        <w:tc>
          <w:tcPr>
            <w:tcW w:w="4185" w:type="dxa"/>
            <w:gridSpan w:val="3"/>
            <w:tcBorders>
              <w:bottom w:val="single" w:color="auto" w:sz="4" w:space="0"/>
            </w:tcBorders>
            <w:noWrap w:val="0"/>
            <w:vAlign w:val="center"/>
          </w:tcPr>
          <w:p w14:paraId="5989101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指对投标（响应）供应商不具有出资持股关系，但对其存在管理关系的主体。</w:t>
            </w:r>
          </w:p>
        </w:tc>
      </w:tr>
      <w:tr w14:paraId="404D4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8941" w:type="dxa"/>
            <w:gridSpan w:val="8"/>
            <w:tcBorders>
              <w:top w:val="single" w:color="auto" w:sz="4" w:space="0"/>
              <w:left w:val="single" w:color="auto" w:sz="4" w:space="0"/>
              <w:bottom w:val="single" w:color="auto" w:sz="4" w:space="0"/>
              <w:right w:val="single" w:color="auto" w:sz="4" w:space="0"/>
            </w:tcBorders>
            <w:noWrap w:val="0"/>
            <w:vAlign w:val="center"/>
          </w:tcPr>
          <w:p w14:paraId="0DA07108">
            <w:pPr>
              <w:snapToGrid w:val="0"/>
              <w:jc w:val="left"/>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b/>
                <w:bCs/>
                <w:color w:val="auto"/>
                <w:sz w:val="24"/>
                <w:szCs w:val="24"/>
                <w:highlight w:val="none"/>
                <w:vertAlign w:val="baseline"/>
                <w:lang w:val="en-US" w:eastAsia="zh-CN"/>
              </w:rPr>
              <w:t>说明：同一关联关系类型有多个主体的，应分行填写。</w:t>
            </w:r>
          </w:p>
        </w:tc>
      </w:tr>
    </w:tbl>
    <w:p w14:paraId="2E04F62A">
      <w:pPr>
        <w:rPr>
          <w:rFonts w:hint="eastAsia" w:ascii="黑体" w:hAnsi="黑体" w:eastAsia="黑体" w:cs="黑体"/>
          <w:bCs/>
          <w:sz w:val="32"/>
          <w:szCs w:val="32"/>
          <w:highlight w:val="none"/>
        </w:rPr>
      </w:pPr>
      <w:r>
        <w:rPr>
          <w:rFonts w:hint="eastAsia" w:ascii="黑体" w:hAnsi="黑体" w:eastAsia="黑体" w:cs="黑体"/>
          <w:bCs/>
          <w:sz w:val="32"/>
          <w:szCs w:val="32"/>
          <w:highlight w:val="none"/>
        </w:rPr>
        <w:br w:type="page"/>
      </w:r>
    </w:p>
    <w:p w14:paraId="2E5C4AF3">
      <w:pPr>
        <w:keepNext w:val="0"/>
        <w:keepLines w:val="0"/>
        <w:pageBreakBefore w:val="0"/>
        <w:kinsoku/>
        <w:wordWrap w:val="0"/>
        <w:overflowPunct/>
        <w:topLinePunct w:val="0"/>
        <w:autoSpaceDE/>
        <w:autoSpaceDN/>
        <w:bidi w:val="0"/>
        <w:adjustRightInd/>
        <w:snapToGrid/>
        <w:spacing w:beforeLines="0" w:afterLines="0" w:line="579" w:lineRule="exact"/>
        <w:ind w:firstLine="0" w:firstLineChars="0"/>
        <w:jc w:val="both"/>
        <w:textAlignment w:val="auto"/>
        <w:outlineLvl w:val="0"/>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rPr>
        <w:t>附件</w:t>
      </w:r>
      <w:r>
        <w:rPr>
          <w:rFonts w:hint="eastAsia" w:ascii="黑体" w:hAnsi="黑体" w:eastAsia="黑体" w:cs="黑体"/>
          <w:bCs/>
          <w:sz w:val="32"/>
          <w:szCs w:val="32"/>
          <w:highlight w:val="none"/>
          <w:lang w:val="en-US" w:eastAsia="zh-CN"/>
        </w:rPr>
        <w:t>2</w:t>
      </w:r>
    </w:p>
    <w:p w14:paraId="46BCF211">
      <w:pPr>
        <w:keepNext w:val="0"/>
        <w:keepLines w:val="0"/>
        <w:pageBreakBefore w:val="0"/>
        <w:widowControl/>
        <w:kinsoku/>
        <w:wordWrap/>
        <w:overflowPunct/>
        <w:topLinePunct w:val="0"/>
        <w:autoSpaceDE/>
        <w:autoSpaceDN/>
        <w:bidi w:val="0"/>
        <w:adjustRightInd/>
        <w:snapToGrid/>
        <w:spacing w:beforeLines="0" w:afterLines="0" w:line="579" w:lineRule="exact"/>
        <w:ind w:firstLine="0" w:firstLineChars="0"/>
        <w:jc w:val="center"/>
        <w:textAlignment w:val="auto"/>
        <w:outlineLvl w:val="0"/>
        <w:rPr>
          <w:rFonts w:hint="eastAsia" w:ascii="方正小标宋_GBK" w:hAnsi="方正小标宋_GBK" w:eastAsia="方正小标宋_GBK" w:cs="方正小标宋_GBK"/>
          <w:b w:val="0"/>
          <w:bCs w:val="0"/>
          <w:spacing w:val="-2"/>
          <w:sz w:val="44"/>
          <w:szCs w:val="44"/>
          <w:highlight w:val="none"/>
          <w:lang w:val="en-US" w:eastAsia="zh-CN"/>
        </w:rPr>
      </w:pPr>
      <w:r>
        <w:rPr>
          <w:rFonts w:hint="eastAsia" w:ascii="方正小标宋_GBK" w:hAnsi="方正小标宋_GBK" w:eastAsia="方正小标宋_GBK" w:cs="方正小标宋_GBK"/>
          <w:b w:val="0"/>
          <w:bCs w:val="0"/>
          <w:spacing w:val="-2"/>
          <w:sz w:val="44"/>
          <w:szCs w:val="44"/>
          <w:highlight w:val="none"/>
          <w:lang w:val="en-US" w:eastAsia="zh-CN"/>
        </w:rPr>
        <w:t>政府采购违法行为风险知悉确认书</w:t>
      </w:r>
    </w:p>
    <w:p w14:paraId="5D1B05C2">
      <w:pPr>
        <w:keepNext w:val="0"/>
        <w:keepLines w:val="0"/>
        <w:pageBreakBefore w:val="0"/>
        <w:widowControl w:val="0"/>
        <w:kinsoku/>
        <w:overflowPunct/>
        <w:topLinePunct w:val="0"/>
        <w:autoSpaceDE/>
        <w:autoSpaceDN/>
        <w:bidi w:val="0"/>
        <w:adjustRightInd/>
        <w:snapToGrid/>
        <w:spacing w:line="579" w:lineRule="exact"/>
        <w:ind w:firstLine="320" w:firstLineChars="100"/>
        <w:jc w:val="center"/>
        <w:textAlignment w:val="auto"/>
        <w:rPr>
          <w:rFonts w:hint="eastAsia" w:ascii="黑体" w:hAnsi="黑体" w:eastAsia="黑体" w:cs="黑体"/>
          <w:kern w:val="2"/>
          <w:sz w:val="32"/>
          <w:szCs w:val="32"/>
          <w:lang w:val="en-US" w:eastAsia="zh-CN" w:bidi="ar-SA"/>
        </w:rPr>
      </w:pPr>
    </w:p>
    <w:p w14:paraId="47174AA6">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val="0"/>
          <w:bCs w:val="0"/>
          <w:sz w:val="32"/>
          <w:szCs w:val="32"/>
          <w:lang w:val="en-US" w:eastAsia="zh-CN"/>
        </w:rPr>
        <w:t>本公司在投标前已充分知悉以下情形为参与政府采购活动时的重大风险事项，并承诺已对下述风险提示事项重点排查，做到严谨、诚信、依法依规参与政府采购活动。</w:t>
      </w:r>
    </w:p>
    <w:p w14:paraId="1C1081E0">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b w:val="0"/>
          <w:bCs w:val="0"/>
          <w:sz w:val="32"/>
          <w:szCs w:val="32"/>
          <w:lang w:val="en-US" w:eastAsia="zh-CN"/>
        </w:rPr>
        <w:t>一、本公司已充分知悉“隐瞒真实情况，提供虚假</w:t>
      </w:r>
      <w:r>
        <w:rPr>
          <w:rFonts w:hint="eastAsia" w:ascii="黑体" w:hAnsi="黑体" w:eastAsia="黑体" w:cs="黑体"/>
          <w:b w:val="0"/>
          <w:bCs w:val="0"/>
          <w:sz w:val="32"/>
          <w:szCs w:val="32"/>
          <w:highlight w:val="none"/>
          <w:lang w:val="en-US" w:eastAsia="zh-CN"/>
        </w:rPr>
        <w:t>资料</w:t>
      </w:r>
      <w:r>
        <w:rPr>
          <w:rFonts w:hint="eastAsia" w:ascii="黑体" w:hAnsi="黑体" w:eastAsia="黑体" w:cs="黑体"/>
          <w:b w:val="0"/>
          <w:bCs w:val="0"/>
          <w:sz w:val="32"/>
          <w:szCs w:val="32"/>
          <w:lang w:val="en-US" w:eastAsia="zh-CN"/>
        </w:rPr>
        <w:t>”的法定情形，相关情形包括但不限于</w:t>
      </w:r>
    </w:p>
    <w:p w14:paraId="05FEA1F6">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（一）通过转让或者租借等方式从其他单位获取资格或者资质证书投标的。</w:t>
      </w:r>
    </w:p>
    <w:p w14:paraId="0BFDCF47">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（二）由其他单位或者其他单位负责人在投标供应商编制的投标文件上加盖印章或者签字的。</w:t>
      </w:r>
    </w:p>
    <w:p w14:paraId="56B764BA">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（三）项目负责人或者主要技术人员不是本单位人员的。</w:t>
      </w:r>
    </w:p>
    <w:p w14:paraId="29A05D2F">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（四）投标保证金不是从投标供应商基本账户转出的。</w:t>
      </w:r>
    </w:p>
    <w:p w14:paraId="5EECACA2">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（五）其他隐瞒真实情况、提供虚假资料的行为。</w:t>
      </w:r>
    </w:p>
    <w:p w14:paraId="6BED733B">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b w:val="0"/>
          <w:bCs w:val="0"/>
          <w:sz w:val="32"/>
          <w:szCs w:val="32"/>
          <w:lang w:val="en-US" w:eastAsia="zh-CN"/>
        </w:rPr>
        <w:t>二、本公司已充分知悉“与其他采购参加人串通投标”的法定情形，相关情形包括但不限于</w:t>
      </w:r>
    </w:p>
    <w:p w14:paraId="17408157">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（一）投标供应商之间相互约定给予未中标的供应商利益补偿。 </w:t>
      </w:r>
    </w:p>
    <w:p w14:paraId="58F0514D">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（二）不同投标供应商的法定代表人、主要经营负责人、项目投标授权代表人、项目负责人、主要技术人员为同一人、属同一单位或者在同一单位缴纳社会保险。</w:t>
      </w:r>
    </w:p>
    <w:p w14:paraId="2FFFF216">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（三）不同投标供应商的投标文件由同一单位或者同一人编制，或者由同一人分阶段参与编制的。</w:t>
      </w:r>
    </w:p>
    <w:p w14:paraId="583F12B0">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（四）不同投标供应商的投标文件或部分投标文件相互混装。</w:t>
      </w:r>
    </w:p>
    <w:p w14:paraId="10C8F6C6">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（五）不同投标供应商的投标文件内容存在非正常一致。</w:t>
      </w:r>
    </w:p>
    <w:p w14:paraId="2471D65C">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（六）由同一单位工作人员为两家以上（含两家）供应商进行同一项投标活动的。</w:t>
      </w:r>
    </w:p>
    <w:p w14:paraId="308F9E7D">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b w:val="0"/>
          <w:bCs w:val="0"/>
          <w:sz w:val="32"/>
          <w:szCs w:val="32"/>
          <w:u w:val="none"/>
          <w:lang w:val="en-US" w:eastAsia="zh-CN"/>
        </w:rPr>
        <w:t>不同投标人的投标报价呈规律性差异。</w:t>
      </w:r>
    </w:p>
    <w:p w14:paraId="28F138F5">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b w:val="0"/>
          <w:bCs w:val="0"/>
          <w:sz w:val="32"/>
          <w:szCs w:val="32"/>
          <w:u w:val="none"/>
          <w:lang w:val="en-US" w:eastAsia="zh-CN"/>
        </w:rPr>
        <w:t>不同投标人的投标保证金从同一单位或者个人的账户转出。</w:t>
      </w:r>
    </w:p>
    <w:p w14:paraId="285AEB9F">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（九）主管部门依照法律、法规认定的其他情形。</w:t>
      </w:r>
    </w:p>
    <w:p w14:paraId="42BD5A81">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b/>
          <w:bCs/>
          <w:sz w:val="32"/>
          <w:szCs w:val="32"/>
          <w:highlight w:val="none"/>
          <w:lang w:val="en-US" w:eastAsia="zh-CN"/>
        </w:rPr>
      </w:pPr>
      <w:r>
        <w:rPr>
          <w:rFonts w:hint="eastAsia" w:ascii="黑体" w:hAnsi="黑体" w:eastAsia="黑体" w:cs="黑体"/>
          <w:b w:val="0"/>
          <w:bCs w:val="0"/>
          <w:sz w:val="32"/>
          <w:szCs w:val="32"/>
          <w:highlight w:val="none"/>
          <w:lang w:val="en-US" w:eastAsia="zh-CN"/>
        </w:rPr>
        <w:t>三、本公司已充分知悉下列情形所对应的法律风险，并在投标前已对相关风险事项进行排查</w:t>
      </w:r>
    </w:p>
    <w:p w14:paraId="44A957AE">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lang w:val="en-US" w:eastAsia="zh-CN"/>
        </w:rPr>
        <w:t>（一）对于</w:t>
      </w:r>
      <w:r>
        <w:rPr>
          <w:rFonts w:hint="eastAsia" w:ascii="仿宋_GB2312" w:hAnsi="Times New Roman" w:eastAsia="仿宋_GB2312" w:cs="Times New Roman"/>
          <w:sz w:val="32"/>
          <w:szCs w:val="32"/>
          <w:lang w:eastAsia="zh-CN"/>
        </w:rPr>
        <w:t>从</w:t>
      </w:r>
      <w:r>
        <w:rPr>
          <w:rFonts w:hint="eastAsia" w:ascii="仿宋_GB2312" w:hAnsi="仿宋_GB2312" w:eastAsia="仿宋_GB2312" w:cs="仿宋_GB2312"/>
          <w:sz w:val="32"/>
          <w:szCs w:val="32"/>
          <w:lang w:val="en-US" w:eastAsia="zh-CN"/>
        </w:rPr>
        <w:t>其他主体</w:t>
      </w:r>
      <w:r>
        <w:rPr>
          <w:rFonts w:hint="eastAsia" w:ascii="仿宋_GB2312" w:hAnsi="Times New Roman" w:eastAsia="仿宋_GB2312" w:cs="Times New Roman"/>
          <w:sz w:val="32"/>
          <w:szCs w:val="32"/>
          <w:lang w:eastAsia="zh-CN"/>
        </w:rPr>
        <w:t>获取</w:t>
      </w:r>
      <w:r>
        <w:rPr>
          <w:rFonts w:hint="eastAsia" w:ascii="仿宋_GB2312" w:hAnsi="仿宋_GB2312" w:eastAsia="仿宋_GB2312" w:cs="仿宋_GB2312"/>
          <w:sz w:val="32"/>
          <w:szCs w:val="32"/>
          <w:lang w:val="en-US" w:eastAsia="zh-CN"/>
        </w:rPr>
        <w:t>的投标资料，供应商应审慎核查，确保投标资料的真实性。</w:t>
      </w:r>
      <w:r>
        <w:rPr>
          <w:rFonts w:hint="eastAsia" w:ascii="仿宋_GB2312" w:hAnsi="仿宋_GB2312" w:eastAsia="仿宋_GB2312" w:cs="仿宋_GB2312"/>
          <w:b/>
          <w:bCs/>
          <w:sz w:val="32"/>
          <w:szCs w:val="32"/>
          <w:lang w:val="en-US" w:eastAsia="zh-CN"/>
        </w:rPr>
        <w:t>如主管部门查实投标文件中存在虚假资料的，无论相关资料是否由第三方或本公司员工提供，均不影响主管部门对供应商存在“隐瞒真实情况，提供虚假资料”违法行为的认定。</w:t>
      </w:r>
    </w:p>
    <w:p w14:paraId="6CDA4D7A">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（二）对于涉及国家机关出具的公文、证件、证明材料等文件，一旦涉嫌虚假，经查实，主管部门将依法从严处理，并移送有关部门追究法律责任；涉嫌犯罪的，主管部门将一并移送司法机关追究法律责任。</w:t>
      </w:r>
    </w:p>
    <w:p w14:paraId="700CC52E">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（三）对于涉及安全生产、特种作业、抢险救灾、防疫等政府采购项目，供应商实施提供虚假资料、串通投标等违法行为的，主管部门将依法从严处理。 </w:t>
      </w:r>
    </w:p>
    <w:p w14:paraId="7B45F7D9">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（四）供应商应严格规范项目授权代表、员工参与招标投标的行为，加强对投标文件的审核。项目授权代表、员工</w:t>
      </w:r>
      <w:r>
        <w:rPr>
          <w:rFonts w:hint="eastAsia" w:ascii="仿宋_GB2312" w:hAnsi="Times New Roman" w:eastAsia="仿宋_GB2312" w:cs="Times New Roman"/>
          <w:sz w:val="32"/>
          <w:szCs w:val="32"/>
          <w:lang w:eastAsia="zh-CN"/>
        </w:rPr>
        <w:t>编制、上传</w:t>
      </w:r>
      <w:r>
        <w:rPr>
          <w:rFonts w:hint="eastAsia" w:ascii="仿宋_GB2312" w:hAnsi="仿宋_GB2312" w:eastAsia="仿宋_GB2312" w:cs="仿宋_GB2312"/>
          <w:sz w:val="32"/>
          <w:szCs w:val="32"/>
          <w:lang w:val="en-US" w:eastAsia="zh-CN"/>
        </w:rPr>
        <w:t>投标文件</w:t>
      </w:r>
      <w:r>
        <w:rPr>
          <w:rFonts w:hint="eastAsia" w:ascii="仿宋_GB2312" w:hAnsi="Times New Roman" w:eastAsia="仿宋_GB2312" w:cs="Times New Roman"/>
          <w:sz w:val="32"/>
          <w:szCs w:val="32"/>
          <w:lang w:eastAsia="zh-CN"/>
        </w:rPr>
        <w:t>等行为</w:t>
      </w:r>
      <w:r>
        <w:rPr>
          <w:rFonts w:hint="eastAsia" w:ascii="仿宋_GB2312" w:hAnsi="仿宋_GB2312" w:eastAsia="仿宋_GB2312" w:cs="仿宋_GB2312"/>
          <w:sz w:val="32"/>
          <w:szCs w:val="32"/>
          <w:lang w:val="en-US" w:eastAsia="zh-CN"/>
        </w:rPr>
        <w:t>违反政府采购法律法规或招标文件要求的，投标供应商应当依法承担相应法律责任。</w:t>
      </w:r>
    </w:p>
    <w:p w14:paraId="70FBA60E">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14:paraId="40BA828F">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lang w:val="en-US" w:eastAsia="zh-CN"/>
        </w:rPr>
        <w:t>（六）</w:t>
      </w:r>
      <w:r>
        <w:rPr>
          <w:rFonts w:hint="eastAsia" w:ascii="仿宋_GB2312" w:hAnsi="仿宋_GB2312" w:eastAsia="仿宋_GB2312" w:cs="仿宋_GB2312"/>
          <w:b w:val="0"/>
          <w:bCs w:val="0"/>
          <w:sz w:val="32"/>
          <w:szCs w:val="32"/>
          <w:highlight w:val="none"/>
          <w:lang w:val="en-US" w:eastAsia="zh-CN"/>
        </w:rPr>
        <w:t>单位负责人为同一人或者存在直接控股、管理关系的不同供应商，不得参加同一合同项下的政府采购活动。相关情形</w:t>
      </w:r>
      <w:r>
        <w:rPr>
          <w:rFonts w:hint="eastAsia" w:ascii="仿宋_GB2312" w:hAnsi="Times New Roman" w:eastAsia="仿宋_GB2312" w:cs="Times New Roman"/>
          <w:sz w:val="32"/>
          <w:szCs w:val="32"/>
          <w:lang w:eastAsia="zh-CN"/>
        </w:rPr>
        <w:t>如</w:t>
      </w:r>
      <w:r>
        <w:rPr>
          <w:rFonts w:hint="eastAsia" w:ascii="仿宋_GB2312" w:hAnsi="仿宋_GB2312" w:eastAsia="仿宋_GB2312" w:cs="仿宋_GB2312"/>
          <w:b w:val="0"/>
          <w:bCs w:val="0"/>
          <w:sz w:val="32"/>
          <w:szCs w:val="32"/>
          <w:highlight w:val="none"/>
          <w:lang w:val="en-US" w:eastAsia="zh-CN"/>
        </w:rPr>
        <w:t>查实，依法作投标无效处理；涉嫌串通投标等违法行为的，主管部门将依法调查处理。</w:t>
      </w:r>
    </w:p>
    <w:p w14:paraId="0AA72B07">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四、本公司已充分知悉</w:t>
      </w:r>
      <w:r>
        <w:rPr>
          <w:rFonts w:hint="eastAsia" w:ascii="黑体" w:hAnsi="黑体" w:eastAsia="黑体" w:cs="黑体"/>
          <w:b w:val="0"/>
          <w:bCs w:val="0"/>
          <w:sz w:val="32"/>
          <w:szCs w:val="32"/>
          <w:highlight w:val="none"/>
          <w:u w:val="none"/>
          <w:lang w:val="en-US" w:eastAsia="zh-CN"/>
        </w:rPr>
        <w:t>政府采购违法、违规行为</w:t>
      </w:r>
      <w:r>
        <w:rPr>
          <w:rFonts w:hint="eastAsia" w:ascii="黑体" w:hAnsi="黑体" w:eastAsia="黑体" w:cs="黑体"/>
          <w:b w:val="0"/>
          <w:bCs w:val="0"/>
          <w:sz w:val="32"/>
          <w:szCs w:val="32"/>
          <w:highlight w:val="none"/>
          <w:lang w:val="en-US" w:eastAsia="zh-CN"/>
        </w:rPr>
        <w:t>的法律后果</w:t>
      </w:r>
    </w:p>
    <w:p w14:paraId="554179D4">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lang w:val="en-US" w:eastAsia="zh-CN"/>
        </w:rPr>
        <w:t>经查实，若投标供应商存在</w:t>
      </w:r>
      <w:r>
        <w:rPr>
          <w:rFonts w:hint="eastAsia" w:ascii="仿宋_GB2312" w:hAnsi="仿宋_GB2312" w:eastAsia="仿宋_GB2312" w:cs="仿宋_GB2312"/>
          <w:sz w:val="32"/>
          <w:szCs w:val="32"/>
          <w:u w:val="none"/>
          <w:lang w:val="en-US" w:eastAsia="zh-CN"/>
        </w:rPr>
        <w:t>政府采购违法、违规行为</w:t>
      </w:r>
      <w:r>
        <w:rPr>
          <w:rFonts w:hint="eastAsia" w:ascii="仿宋_GB2312" w:hAnsi="仿宋_GB2312" w:eastAsia="仿宋_GB2312" w:cs="仿宋_GB2312"/>
          <w:sz w:val="32"/>
          <w:szCs w:val="32"/>
          <w:lang w:val="en-US" w:eastAsia="zh-CN"/>
        </w:rPr>
        <w:t>，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14:paraId="5106543F">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以下文字请投标供应商抄写并确认：“本公司已仔细阅读《政府采购违法行为风险知悉确认书》，充分知悉违法行为的法律后果，并承诺将</w:t>
      </w:r>
      <w:r>
        <w:rPr>
          <w:rFonts w:hint="eastAsia" w:ascii="仿宋_GB2312" w:hAnsi="仿宋_GB2312" w:eastAsia="仿宋_GB2312" w:cs="仿宋_GB2312"/>
          <w:b w:val="0"/>
          <w:bCs w:val="0"/>
          <w:sz w:val="32"/>
          <w:szCs w:val="32"/>
          <w:lang w:val="en-US" w:eastAsia="zh-CN"/>
        </w:rPr>
        <w:t>严谨、诚信、依法依规参与政府采购活动</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 w:val="0"/>
          <w:bCs w:val="0"/>
          <w:sz w:val="32"/>
          <w:szCs w:val="32"/>
          <w:lang w:val="en-US" w:eastAsia="zh-CN"/>
        </w:rPr>
        <w:t>。</w:t>
      </w:r>
    </w:p>
    <w:p w14:paraId="3C65EDFF">
      <w:pPr>
        <w:keepNext w:val="0"/>
        <w:keepLines w:val="0"/>
        <w:pageBreakBefore w:val="0"/>
        <w:numPr>
          <w:ilvl w:val="0"/>
          <w:numId w:val="0"/>
        </w:numPr>
        <w:kinsoku/>
        <w:overflowPunct/>
        <w:topLinePunct w:val="0"/>
        <w:autoSpaceDE/>
        <w:autoSpaceDN/>
        <w:bidi w:val="0"/>
        <w:adjustRightInd/>
        <w:snapToGrid/>
        <w:spacing w:beforeLines="0" w:afterLines="0" w:line="579"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u w:val="single"/>
          <w:lang w:val="en-US" w:eastAsia="zh-CN"/>
        </w:rPr>
        <w:t xml:space="preserve">                                                    </w:t>
      </w:r>
    </w:p>
    <w:p w14:paraId="13AE6024">
      <w:pPr>
        <w:keepNext w:val="0"/>
        <w:keepLines w:val="0"/>
        <w:pageBreakBefore w:val="0"/>
        <w:numPr>
          <w:ilvl w:val="0"/>
          <w:numId w:val="0"/>
        </w:numPr>
        <w:kinsoku/>
        <w:overflowPunct/>
        <w:topLinePunct w:val="0"/>
        <w:autoSpaceDE/>
        <w:autoSpaceDN/>
        <w:bidi w:val="0"/>
        <w:adjustRightInd/>
        <w:snapToGrid/>
        <w:spacing w:beforeLines="0" w:afterLines="0" w:line="579" w:lineRule="exact"/>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14:paraId="70888CFE">
      <w:pPr>
        <w:keepNext w:val="0"/>
        <w:keepLines w:val="0"/>
        <w:pageBreakBefore w:val="0"/>
        <w:numPr>
          <w:ilvl w:val="0"/>
          <w:numId w:val="0"/>
        </w:numPr>
        <w:kinsoku/>
        <w:overflowPunct/>
        <w:topLinePunct w:val="0"/>
        <w:autoSpaceDE/>
        <w:autoSpaceDN/>
        <w:bidi w:val="0"/>
        <w:adjustRightInd/>
        <w:snapToGrid/>
        <w:spacing w:beforeLines="0" w:afterLines="0" w:line="579" w:lineRule="exact"/>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14:paraId="72DEECE7">
      <w:pPr>
        <w:keepNext w:val="0"/>
        <w:keepLines w:val="0"/>
        <w:pageBreakBefore w:val="0"/>
        <w:numPr>
          <w:ilvl w:val="0"/>
          <w:numId w:val="0"/>
        </w:numPr>
        <w:kinsoku/>
        <w:overflowPunct/>
        <w:topLinePunct w:val="0"/>
        <w:autoSpaceDE/>
        <w:autoSpaceDN/>
        <w:bidi w:val="0"/>
        <w:adjustRightInd/>
        <w:snapToGrid/>
        <w:spacing w:beforeLines="0" w:afterLines="0" w:line="579" w:lineRule="exact"/>
        <w:textAlignment w:val="auto"/>
        <w:rPr>
          <w:rFonts w:hint="eastAsia" w:asciiTheme="minorHAnsi" w:hAnsiTheme="minorHAnsi" w:eastAsiaTheme="minorEastAsia" w:cstheme="minorBidi"/>
          <w:u w:val="none"/>
          <w:lang w:val="en-US" w:eastAsia="zh-CN"/>
        </w:rPr>
      </w:pPr>
      <w:r>
        <w:rPr>
          <w:rFonts w:hint="eastAsia" w:ascii="仿宋_GB2312" w:hAnsi="仿宋_GB2312" w:eastAsia="仿宋_GB2312" w:cs="仿宋_GB2312"/>
          <w:sz w:val="32"/>
          <w:szCs w:val="32"/>
          <w:u w:val="single"/>
          <w:lang w:val="en-US" w:eastAsia="zh-CN"/>
        </w:rPr>
        <w:t xml:space="preserve">                                                    </w:t>
      </w:r>
    </w:p>
    <w:p w14:paraId="38A99AA6">
      <w:pPr>
        <w:keepNext w:val="0"/>
        <w:keepLines w:val="0"/>
        <w:pageBreakBefore w:val="0"/>
        <w:numPr>
          <w:ilvl w:val="0"/>
          <w:numId w:val="0"/>
        </w:numPr>
        <w:kinsoku/>
        <w:overflowPunct/>
        <w:topLinePunct w:val="0"/>
        <w:autoSpaceDE/>
        <w:autoSpaceDN/>
        <w:bidi w:val="0"/>
        <w:adjustRightInd/>
        <w:snapToGrid/>
        <w:spacing w:beforeLines="0" w:afterLines="0" w:line="579" w:lineRule="exact"/>
        <w:textAlignment w:val="auto"/>
        <w:rPr>
          <w:rFonts w:hint="default" w:ascii="仿宋_GB2312" w:hAnsi="仿宋_GB2312" w:eastAsia="仿宋_GB2312" w:cs="仿宋_GB2312"/>
          <w:sz w:val="32"/>
          <w:szCs w:val="32"/>
          <w:highlight w:val="yellow"/>
          <w:lang w:val="en-US" w:eastAsia="zh-CN"/>
        </w:rPr>
      </w:pPr>
    </w:p>
    <w:p w14:paraId="03491A22">
      <w:pPr>
        <w:keepNext w:val="0"/>
        <w:keepLines w:val="0"/>
        <w:pageBreakBefore w:val="0"/>
        <w:numPr>
          <w:ilvl w:val="0"/>
          <w:numId w:val="0"/>
        </w:numPr>
        <w:kinsoku/>
        <w:overflowPunct/>
        <w:topLinePunct w:val="0"/>
        <w:autoSpaceDE/>
        <w:autoSpaceDN/>
        <w:bidi w:val="0"/>
        <w:adjustRightInd/>
        <w:snapToGrid/>
        <w:spacing w:beforeLines="0" w:afterLines="0" w:line="579"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负责人/投标授权代表签名：</w:t>
      </w:r>
    </w:p>
    <w:p w14:paraId="66D4B75A">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3200" w:firstLineChars="10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知悉人（公章）：</w:t>
      </w:r>
    </w:p>
    <w:p w14:paraId="23BB016C">
      <w:pPr>
        <w:keepNext w:val="0"/>
        <w:keepLines w:val="0"/>
        <w:pageBreakBefore w:val="0"/>
        <w:kinsoku/>
        <w:overflowPunct/>
        <w:topLinePunct w:val="0"/>
        <w:autoSpaceDE/>
        <w:autoSpaceDN/>
        <w:bidi w:val="0"/>
        <w:adjustRightInd/>
        <w:snapToGrid/>
        <w:spacing w:beforeLines="0" w:afterLines="0" w:line="579" w:lineRule="exact"/>
        <w:textAlignment w:val="auto"/>
        <w:rPr>
          <w:rFonts w:ascii="Times New Roman" w:hAnsi="Times New Roman" w:eastAsia="宋体" w:cs="Times New Roman"/>
          <w:sz w:val="32"/>
          <w:szCs w:val="32"/>
        </w:rPr>
      </w:pPr>
      <w:r>
        <w:rPr>
          <w:rFonts w:hint="eastAsia" w:ascii="仿宋_GB2312" w:hAnsi="仿宋_GB2312" w:eastAsia="仿宋_GB2312" w:cs="仿宋_GB2312"/>
          <w:sz w:val="32"/>
          <w:szCs w:val="32"/>
          <w:lang w:val="en-US" w:eastAsia="zh-CN"/>
        </w:rPr>
        <w:t xml:space="preserve">                    日期：</w:t>
      </w:r>
    </w:p>
    <w:p w14:paraId="7A3D544B">
      <w:pPr>
        <w:keepNext w:val="0"/>
        <w:keepLines w:val="0"/>
        <w:pageBreakBefore w:val="0"/>
        <w:kinsoku/>
        <w:overflowPunct/>
        <w:topLinePunct w:val="0"/>
        <w:autoSpaceDE/>
        <w:autoSpaceDN/>
        <w:bidi w:val="0"/>
        <w:adjustRightInd/>
        <w:snapToGrid/>
        <w:spacing w:line="579" w:lineRule="exact"/>
        <w:textAlignment w:val="auto"/>
        <w:rPr>
          <w:rFonts w:hint="default" w:asciiTheme="minorHAnsi" w:hAnsiTheme="minorHAnsi" w:eastAsiaTheme="minorEastAsia" w:cstheme="minorBidi"/>
          <w:lang w:val="en-US" w:eastAsia="zh-CN"/>
        </w:rPr>
      </w:pPr>
      <w:r>
        <w:rPr>
          <w:rFonts w:hint="default" w:asciiTheme="minorHAnsi" w:hAnsiTheme="minorHAnsi" w:eastAsiaTheme="minorEastAsia" w:cstheme="minorBidi"/>
          <w:lang w:val="en-US" w:eastAsia="zh-CN"/>
        </w:rPr>
        <w:br w:type="page"/>
      </w:r>
    </w:p>
    <w:p w14:paraId="0E8075D1">
      <w:pPr>
        <w:keepNext w:val="0"/>
        <w:keepLines w:val="0"/>
        <w:pageBreakBefore w:val="0"/>
        <w:kinsoku/>
        <w:wordWrap w:val="0"/>
        <w:overflowPunct/>
        <w:topLinePunct w:val="0"/>
        <w:autoSpaceDE/>
        <w:autoSpaceDN/>
        <w:bidi w:val="0"/>
        <w:adjustRightInd/>
        <w:snapToGrid/>
        <w:spacing w:beforeLines="0" w:afterLines="0" w:line="579" w:lineRule="exact"/>
        <w:ind w:firstLine="0" w:firstLineChars="0"/>
        <w:jc w:val="both"/>
        <w:textAlignment w:val="auto"/>
        <w:outlineLvl w:val="0"/>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rPr>
        <w:t>附件</w:t>
      </w:r>
      <w:r>
        <w:rPr>
          <w:rFonts w:hint="eastAsia" w:ascii="黑体" w:hAnsi="黑体" w:eastAsia="黑体" w:cs="黑体"/>
          <w:bCs/>
          <w:sz w:val="32"/>
          <w:szCs w:val="32"/>
          <w:highlight w:val="none"/>
          <w:lang w:val="en-US" w:eastAsia="zh-CN"/>
        </w:rPr>
        <w:t>3</w:t>
      </w:r>
    </w:p>
    <w:p w14:paraId="5C19E3CE">
      <w:pPr>
        <w:keepNext w:val="0"/>
        <w:keepLines w:val="0"/>
        <w:pageBreakBefore w:val="0"/>
        <w:widowControl/>
        <w:kinsoku/>
        <w:wordWrap/>
        <w:overflowPunct/>
        <w:topLinePunct w:val="0"/>
        <w:autoSpaceDE/>
        <w:autoSpaceDN/>
        <w:bidi w:val="0"/>
        <w:adjustRightInd/>
        <w:snapToGrid/>
        <w:spacing w:beforeLines="0" w:afterLines="0" w:line="579" w:lineRule="exact"/>
        <w:ind w:firstLine="0" w:firstLineChars="0"/>
        <w:jc w:val="center"/>
        <w:textAlignment w:val="auto"/>
        <w:outlineLvl w:val="0"/>
        <w:rPr>
          <w:rFonts w:hint="eastAsia" w:ascii="方正小标宋_GBK" w:hAnsi="方正小标宋_GBK" w:eastAsia="方正小标宋_GBK" w:cs="方正小标宋_GBK"/>
          <w:spacing w:val="-2"/>
          <w:sz w:val="44"/>
          <w:szCs w:val="44"/>
          <w:highlight w:val="none"/>
          <w:lang w:eastAsia="zh-CN"/>
        </w:rPr>
      </w:pPr>
      <w:r>
        <w:rPr>
          <w:rFonts w:hint="eastAsia" w:ascii="方正小标宋_GBK" w:hAnsi="方正小标宋_GBK" w:eastAsia="方正小标宋_GBK" w:cs="方正小标宋_GBK"/>
          <w:spacing w:val="-2"/>
          <w:sz w:val="44"/>
          <w:szCs w:val="44"/>
          <w:highlight w:val="none"/>
          <w:lang w:eastAsia="zh-CN"/>
        </w:rPr>
        <w:t>履约承诺函</w:t>
      </w:r>
    </w:p>
    <w:p w14:paraId="13BC9CC5">
      <w:pPr>
        <w:keepNext w:val="0"/>
        <w:keepLines w:val="0"/>
        <w:pageBreakBefore w:val="0"/>
        <w:widowControl w:val="0"/>
        <w:kinsoku/>
        <w:overflowPunct/>
        <w:topLinePunct w:val="0"/>
        <w:autoSpaceDE/>
        <w:autoSpaceDN/>
        <w:bidi w:val="0"/>
        <w:adjustRightInd/>
        <w:snapToGrid/>
        <w:spacing w:line="579" w:lineRule="exact"/>
        <w:ind w:firstLine="440" w:firstLineChars="100"/>
        <w:jc w:val="center"/>
        <w:textAlignment w:val="auto"/>
        <w:rPr>
          <w:rFonts w:hint="eastAsia" w:ascii="宋体" w:hAnsi="Times New Roman" w:eastAsia="宋体" w:cs="Times New Roman"/>
          <w:kern w:val="2"/>
          <w:sz w:val="44"/>
          <w:szCs w:val="24"/>
          <w:lang w:val="en-US" w:eastAsia="zh-CN" w:bidi="ar-SA"/>
        </w:rPr>
      </w:pPr>
    </w:p>
    <w:p w14:paraId="03139B5F">
      <w:pPr>
        <w:keepNext w:val="0"/>
        <w:keepLines w:val="0"/>
        <w:pageBreakBefore w:val="0"/>
        <w:widowControl w:val="0"/>
        <w:kinsoku/>
        <w:wordWrap/>
        <w:overflowPunct/>
        <w:topLinePunct w:val="0"/>
        <w:autoSpaceDE/>
        <w:autoSpaceDN/>
        <w:bidi w:val="0"/>
        <w:adjustRightInd/>
        <w:snapToGrid/>
        <w:spacing w:beforeLines="0" w:afterLines="0" w:line="579" w:lineRule="exac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致：</w:t>
      </w:r>
      <w:r>
        <w:rPr>
          <w:rFonts w:hint="eastAsia" w:ascii="仿宋_GB2312" w:hAnsi="仿宋_GB2312" w:eastAsia="仿宋_GB2312" w:cs="仿宋_GB2312"/>
          <w:b w:val="0"/>
          <w:bCs w:val="0"/>
          <w:color w:val="auto"/>
          <w:sz w:val="32"/>
          <w:szCs w:val="32"/>
          <w:highlight w:val="none"/>
          <w:u w:val="none"/>
          <w:lang w:eastAsia="zh-CN"/>
        </w:rPr>
        <w:t>深圳市福田区沙头街道办事处</w:t>
      </w:r>
    </w:p>
    <w:p w14:paraId="4C08B1DB">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我单位承诺：</w:t>
      </w:r>
    </w:p>
    <w:p w14:paraId="62229818">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1.我单位参与本项目所投标（响应）的货物、工程或服务，不存在侵犯知识产权的情况。</w:t>
      </w:r>
    </w:p>
    <w:p w14:paraId="2D223BAE">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2.我单位参与本项目政府采购活动时不存在被有关部门禁止参与政府采购活动且在有效期内的情况。</w:t>
      </w:r>
    </w:p>
    <w:p w14:paraId="414D3620">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3.我单位具备《中华人民共和国政府采购法》第二十二条第一款规定的六项条件。</w:t>
      </w:r>
    </w:p>
    <w:p w14:paraId="36E36E91">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4.我单位未被列入失信被执行人、重大税收违法案件当事人名单（重大税收违法失信主体）、政府采购严重违法失信行为记录名单。</w:t>
      </w:r>
    </w:p>
    <w:p w14:paraId="601A0111">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bookmarkStart w:id="17" w:name="_Hlk72587269"/>
      <w:bookmarkStart w:id="18" w:name="_Hlk72587299"/>
      <w:r>
        <w:rPr>
          <w:rFonts w:hint="eastAsia" w:ascii="仿宋_GB2312" w:hAnsi="仿宋_GB2312" w:eastAsia="仿宋_GB2312" w:cs="仿宋_GB2312"/>
          <w:color w:val="auto"/>
          <w:sz w:val="32"/>
          <w:szCs w:val="32"/>
        </w:rPr>
        <w:t>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bookmarkEnd w:id="17"/>
      <w:r>
        <w:rPr>
          <w:rFonts w:hint="eastAsia" w:ascii="仿宋_GB2312" w:hAnsi="仿宋_GB2312" w:eastAsia="仿宋_GB2312" w:cs="仿宋_GB2312"/>
          <w:color w:val="auto"/>
          <w:sz w:val="32"/>
          <w:szCs w:val="32"/>
        </w:rPr>
        <w:t>。</w:t>
      </w:r>
    </w:p>
    <w:bookmarkEnd w:id="18"/>
    <w:p w14:paraId="67CB22FD">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0172D609">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5FA8AF99">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5B292F26">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8.我单位承诺中标后项目不转包，未经采购人同意不进行分包。</w:t>
      </w:r>
    </w:p>
    <w:p w14:paraId="40BA9296">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9.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7ACDDD8A">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10.我单位保证，若所投货物涉及《财政部生态环境部关于印发节能产品政府采购品目清单的通知》（财库〔2019〕19号）列明的政府采购强制产品，则所投该产品符合节能产品的认证要求。</w:t>
      </w:r>
    </w:p>
    <w:p w14:paraId="6A97E454">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11.我单位已知悉并同意中标（成交）结果信息公示（公开）的内容。</w:t>
      </w:r>
    </w:p>
    <w:p w14:paraId="72C0C9E3">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12.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w:t>
      </w:r>
    </w:p>
    <w:p w14:paraId="2FE0E23F">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13.我单位清楚，如存在违反投标承诺行为情节严重的，将根据《深圳市财政局关于印发&lt;深圳市财政局政府采购供应商信用信息管理办法&gt;的通知》，依法被列入失信信息。</w:t>
      </w:r>
    </w:p>
    <w:p w14:paraId="64B51F40">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以上承诺，如有违反，愿依照国家相关法律法规处理，并承担由此给采购人带来的损失。</w:t>
      </w:r>
    </w:p>
    <w:p w14:paraId="6AC14E53">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w:t>
      </w:r>
    </w:p>
    <w:p w14:paraId="3AF4A7A8">
      <w:pPr>
        <w:keepNext w:val="0"/>
        <w:keepLines w:val="0"/>
        <w:pageBreakBefore w:val="0"/>
        <w:widowControl w:val="0"/>
        <w:kinsoku/>
        <w:wordWrap/>
        <w:overflowPunct/>
        <w:topLinePunct w:val="0"/>
        <w:autoSpaceDE/>
        <w:autoSpaceDN/>
        <w:bidi w:val="0"/>
        <w:adjustRightInd/>
        <w:snapToGrid/>
        <w:spacing w:beforeLines="0" w:afterLines="0" w:line="579" w:lineRule="exact"/>
        <w:ind w:firstLine="4480" w:firstLineChars="14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投标人：              </w:t>
      </w:r>
    </w:p>
    <w:p w14:paraId="0EBBE8B0">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微软雅黑" w:hAnsi="微软雅黑" w:eastAsia="微软雅黑" w:cs="Times New Roman"/>
          <w:color w:val="000000"/>
          <w:sz w:val="32"/>
          <w:szCs w:val="32"/>
        </w:rPr>
      </w:pPr>
      <w:r>
        <w:rPr>
          <w:rFonts w:hint="eastAsia" w:ascii="仿宋_GB2312" w:hAnsi="仿宋_GB2312" w:eastAsia="仿宋_GB2312" w:cs="仿宋_GB2312"/>
          <w:color w:val="auto"/>
          <w:sz w:val="32"/>
          <w:szCs w:val="32"/>
        </w:rPr>
        <w:t xml:space="preserve">                        日期：    年   月   日</w:t>
      </w:r>
    </w:p>
    <w:p w14:paraId="6C039820">
      <w:pPr>
        <w:keepNext w:val="0"/>
        <w:keepLines w:val="0"/>
        <w:pageBreakBefore w:val="0"/>
        <w:kinsoku/>
        <w:overflowPunct/>
        <w:topLinePunct w:val="0"/>
        <w:autoSpaceDE/>
        <w:autoSpaceDN/>
        <w:bidi w:val="0"/>
        <w:adjustRightInd/>
        <w:snapToGrid/>
        <w:spacing w:line="579" w:lineRule="exact"/>
        <w:textAlignment w:val="auto"/>
        <w:rPr>
          <w:rFonts w:hint="eastAsia" w:ascii="黑体" w:hAnsi="黑体" w:eastAsia="黑体" w:cs="黑体"/>
          <w:bCs/>
          <w:sz w:val="32"/>
          <w:szCs w:val="32"/>
          <w:highlight w:val="none"/>
        </w:rPr>
      </w:pPr>
      <w:r>
        <w:rPr>
          <w:rFonts w:hint="eastAsia" w:ascii="黑体" w:hAnsi="黑体" w:eastAsia="黑体" w:cs="黑体"/>
          <w:bCs/>
          <w:sz w:val="32"/>
          <w:szCs w:val="32"/>
          <w:highlight w:val="none"/>
        </w:rPr>
        <w:br w:type="page"/>
      </w:r>
    </w:p>
    <w:p w14:paraId="1A01668B">
      <w:pPr>
        <w:keepNext w:val="0"/>
        <w:keepLines w:val="0"/>
        <w:pageBreakBefore w:val="0"/>
        <w:kinsoku/>
        <w:wordWrap w:val="0"/>
        <w:overflowPunct/>
        <w:topLinePunct w:val="0"/>
        <w:autoSpaceDE/>
        <w:autoSpaceDN/>
        <w:bidi w:val="0"/>
        <w:adjustRightInd/>
        <w:snapToGrid/>
        <w:spacing w:line="579" w:lineRule="exact"/>
        <w:ind w:firstLine="0" w:firstLineChars="0"/>
        <w:jc w:val="both"/>
        <w:textAlignment w:val="auto"/>
        <w:outlineLvl w:val="0"/>
        <w:rPr>
          <w:rFonts w:hint="default" w:ascii="黑体" w:hAnsi="黑体" w:eastAsia="黑体" w:cs="黑体"/>
          <w:bCs/>
          <w:sz w:val="32"/>
          <w:szCs w:val="32"/>
          <w:highlight w:val="none"/>
          <w:lang w:val="en-US" w:eastAsia="zh-CN"/>
        </w:rPr>
      </w:pPr>
      <w:r>
        <w:rPr>
          <w:rFonts w:hint="eastAsia" w:ascii="黑体" w:hAnsi="黑体" w:eastAsia="黑体" w:cs="黑体"/>
          <w:bCs/>
          <w:sz w:val="32"/>
          <w:szCs w:val="32"/>
          <w:highlight w:val="none"/>
        </w:rPr>
        <w:t>附件</w:t>
      </w:r>
      <w:r>
        <w:rPr>
          <w:rFonts w:hint="eastAsia" w:ascii="黑体" w:hAnsi="黑体" w:eastAsia="黑体" w:cs="黑体"/>
          <w:bCs/>
          <w:sz w:val="32"/>
          <w:szCs w:val="32"/>
          <w:highlight w:val="none"/>
          <w:lang w:val="en-US" w:eastAsia="zh-CN"/>
        </w:rPr>
        <w:t>4</w:t>
      </w:r>
    </w:p>
    <w:p w14:paraId="01B3E61C">
      <w:pPr>
        <w:keepNext w:val="0"/>
        <w:keepLines w:val="0"/>
        <w:pageBreakBefore w:val="0"/>
        <w:widowControl/>
        <w:kinsoku/>
        <w:wordWrap/>
        <w:overflowPunct/>
        <w:topLinePunct w:val="0"/>
        <w:autoSpaceDE/>
        <w:autoSpaceDN/>
        <w:bidi w:val="0"/>
        <w:adjustRightInd/>
        <w:snapToGrid/>
        <w:spacing w:line="579" w:lineRule="exact"/>
        <w:ind w:firstLine="0" w:firstLineChars="0"/>
        <w:jc w:val="center"/>
        <w:textAlignment w:val="auto"/>
        <w:outlineLvl w:val="0"/>
        <w:rPr>
          <w:rFonts w:hint="eastAsia" w:ascii="方正小标宋_GBK" w:hAnsi="方正小标宋_GBK" w:eastAsia="方正小标宋_GBK" w:cs="方正小标宋_GBK"/>
          <w:spacing w:val="-2"/>
          <w:sz w:val="44"/>
          <w:szCs w:val="44"/>
          <w:highlight w:val="none"/>
          <w:lang w:eastAsia="zh-CN"/>
        </w:rPr>
      </w:pPr>
      <w:r>
        <w:rPr>
          <w:rFonts w:hint="eastAsia" w:ascii="方正小标宋_GBK" w:hAnsi="方正小标宋_GBK" w:eastAsia="方正小标宋_GBK" w:cs="方正小标宋_GBK"/>
          <w:spacing w:val="-2"/>
          <w:sz w:val="44"/>
          <w:szCs w:val="44"/>
          <w:highlight w:val="none"/>
          <w:lang w:eastAsia="zh-CN"/>
        </w:rPr>
        <w:t>诚信承诺函</w:t>
      </w:r>
    </w:p>
    <w:p w14:paraId="272C410E">
      <w:pPr>
        <w:keepNext w:val="0"/>
        <w:keepLines w:val="0"/>
        <w:pageBreakBefore w:val="0"/>
        <w:widowControl w:val="0"/>
        <w:kinsoku/>
        <w:wordWrap/>
        <w:overflowPunct/>
        <w:topLinePunct w:val="0"/>
        <w:autoSpaceDE/>
        <w:autoSpaceDN/>
        <w:bidi w:val="0"/>
        <w:adjustRightInd/>
        <w:snapToGrid/>
        <w:spacing w:line="579" w:lineRule="exact"/>
        <w:ind w:firstLine="440" w:firstLineChars="100"/>
        <w:jc w:val="center"/>
        <w:textAlignment w:val="auto"/>
        <w:rPr>
          <w:rFonts w:hint="eastAsia" w:ascii="宋体" w:hAnsi="Times New Roman" w:eastAsia="宋体" w:cs="Times New Roman"/>
          <w:kern w:val="2"/>
          <w:sz w:val="44"/>
          <w:szCs w:val="24"/>
          <w:lang w:val="en-US" w:eastAsia="zh-CN" w:bidi="ar-SA"/>
        </w:rPr>
      </w:pPr>
    </w:p>
    <w:p w14:paraId="1A68B4C5">
      <w:pPr>
        <w:keepNext w:val="0"/>
        <w:keepLines w:val="0"/>
        <w:pageBreakBefore w:val="0"/>
        <w:widowControl w:val="0"/>
        <w:kinsoku/>
        <w:wordWrap/>
        <w:overflowPunct/>
        <w:topLinePunct w:val="0"/>
        <w:autoSpaceDE/>
        <w:autoSpaceDN/>
        <w:bidi w:val="0"/>
        <w:adjustRightInd/>
        <w:snapToGrid/>
        <w:spacing w:line="579" w:lineRule="exact"/>
        <w:ind w:left="0" w:leftChars="0" w:firstLine="0" w:firstLineChars="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lang w:val="en-US" w:eastAsia="zh-CN" w:bidi="ar-SA"/>
        </w:rPr>
        <w:t>致：</w:t>
      </w:r>
      <w:r>
        <w:rPr>
          <w:rFonts w:hint="eastAsia" w:ascii="仿宋_GB2312" w:hAnsi="仿宋_GB2312" w:eastAsia="仿宋_GB2312" w:cs="仿宋_GB2312"/>
          <w:b w:val="0"/>
          <w:bCs w:val="0"/>
          <w:color w:val="auto"/>
          <w:kern w:val="2"/>
          <w:sz w:val="32"/>
          <w:szCs w:val="32"/>
          <w:highlight w:val="none"/>
          <w:u w:val="none"/>
          <w:lang w:val="en-US" w:eastAsia="zh-CN" w:bidi="ar-SA"/>
        </w:rPr>
        <w:t>深圳市福田区沙头街道办事处</w:t>
      </w:r>
    </w:p>
    <w:p w14:paraId="439CBFB7">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auto"/>
          <w:sz w:val="32"/>
          <w:szCs w:val="32"/>
          <w:highlight w:val="none"/>
          <w:u w:val="none"/>
          <w:lang w:eastAsia="zh-CN"/>
        </w:rPr>
      </w:pPr>
      <w:r>
        <w:rPr>
          <w:rFonts w:hint="eastAsia" w:ascii="仿宋_GB2312" w:hAnsi="仿宋_GB2312" w:eastAsia="仿宋_GB2312" w:cs="仿宋_GB2312"/>
          <w:b w:val="0"/>
          <w:bCs w:val="0"/>
          <w:color w:val="auto"/>
          <w:sz w:val="32"/>
          <w:szCs w:val="32"/>
          <w:highlight w:val="none"/>
          <w:u w:val="none"/>
          <w:lang w:eastAsia="zh-CN"/>
        </w:rPr>
        <w:t>我方承诺在政府采购招标投标活动中不存在以下情形：</w:t>
      </w:r>
    </w:p>
    <w:p w14:paraId="76C0FFAC">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（一）被纪检监察部门立案调查，违法违规事实成立的；</w:t>
      </w:r>
    </w:p>
    <w:p w14:paraId="503A8220">
      <w:pPr>
        <w:keepNext w:val="0"/>
        <w:keepLines w:val="0"/>
        <w:pageBreakBefore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（二）未按政府采购相关规定签订、履行采购合同，造成严重后果的；</w:t>
      </w:r>
    </w:p>
    <w:p w14:paraId="7EA9E4C9">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（三）隐瞒真实情况，提供虚假资料的；</w:t>
      </w:r>
    </w:p>
    <w:p w14:paraId="0CFA9D94">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（四）以非法手段排斥其他供应商参与竞争的；</w:t>
      </w:r>
    </w:p>
    <w:p w14:paraId="7C59F63E">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（五）与其他采购参加人串通投标的；</w:t>
      </w:r>
    </w:p>
    <w:p w14:paraId="214E5A79">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（六）在采购活动中应当回避而未回避的；</w:t>
      </w:r>
    </w:p>
    <w:p w14:paraId="15CBF439">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（七）恶意投诉的；</w:t>
      </w:r>
    </w:p>
    <w:p w14:paraId="2B5FB086">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（八）向采购项目相关人行贿或者提供其他不当利益的；</w:t>
      </w:r>
    </w:p>
    <w:p w14:paraId="4746A8CE">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（九）阻碍、抗拒主管部门监督检查的；</w:t>
      </w:r>
    </w:p>
    <w:p w14:paraId="1CAA407A">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（十）向采购代理机构及相关工作人员以各种形式进行施压的；</w:t>
      </w:r>
    </w:p>
    <w:p w14:paraId="25E579FB">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（十一）履约检查不合格或者评价为差的；</w:t>
      </w:r>
    </w:p>
    <w:p w14:paraId="70690D65">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（十二）主管部门认定的其他情形。</w:t>
      </w:r>
    </w:p>
    <w:p w14:paraId="077BF1B2">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如我方在本项目开标日前三年内存在上述行为超出法定追诉时效未被追诉、或者上述情节轻微给予禁止参加政府采购的行政处罚，我司自愿承担虚假应标以及其他一切不利的法律后果。</w:t>
      </w:r>
    </w:p>
    <w:p w14:paraId="18AAEB90">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特此承诺。</w:t>
      </w:r>
    </w:p>
    <w:p w14:paraId="76B04AB7">
      <w:pPr>
        <w:keepNext w:val="0"/>
        <w:keepLines w:val="0"/>
        <w:pageBreakBefore w:val="0"/>
        <w:widowControl w:val="0"/>
        <w:kinsoku/>
        <w:wordWrap/>
        <w:overflowPunct/>
        <w:topLinePunct w:val="0"/>
        <w:autoSpaceDE/>
        <w:autoSpaceDN/>
        <w:bidi w:val="0"/>
        <w:adjustRightInd/>
        <w:snapToGrid/>
        <w:spacing w:line="579" w:lineRule="exact"/>
        <w:ind w:firstLine="320" w:firstLineChars="100"/>
        <w:jc w:val="center"/>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p>
    <w:p w14:paraId="75472333">
      <w:pPr>
        <w:keepNext w:val="0"/>
        <w:keepLines w:val="0"/>
        <w:pageBreakBefore w:val="0"/>
        <w:kinsoku/>
        <w:wordWrap/>
        <w:overflowPunct/>
        <w:topLinePunct w:val="0"/>
        <w:autoSpaceDE/>
        <w:autoSpaceDN/>
        <w:bidi w:val="0"/>
        <w:adjustRightInd/>
        <w:snapToGrid/>
        <w:spacing w:line="579" w:lineRule="exact"/>
        <w:jc w:val="center"/>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 xml:space="preserve">          投标人：</w:t>
      </w:r>
    </w:p>
    <w:p w14:paraId="41E00828">
      <w:pPr>
        <w:keepNext w:val="0"/>
        <w:keepLines w:val="0"/>
        <w:pageBreakBefore w:val="0"/>
        <w:widowControl w:val="0"/>
        <w:kinsoku/>
        <w:wordWrap/>
        <w:overflowPunct/>
        <w:topLinePunct w:val="0"/>
        <w:autoSpaceDE/>
        <w:autoSpaceDN/>
        <w:bidi w:val="0"/>
        <w:adjustRightInd/>
        <w:snapToGrid/>
        <w:spacing w:line="579" w:lineRule="exact"/>
        <w:ind w:left="0" w:leftChars="0" w:firstLine="0" w:firstLineChars="0"/>
        <w:jc w:val="right"/>
        <w:textAlignment w:val="auto"/>
        <w:rPr>
          <w:rFonts w:hint="default" w:ascii="宋体" w:hAnsi="Times New Roman" w:eastAsia="宋体" w:cs="Times New Roman"/>
          <w:kern w:val="2"/>
          <w:sz w:val="44"/>
          <w:szCs w:val="24"/>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 xml:space="preserve">       日  期：   年    月    日</w:t>
      </w:r>
    </w:p>
    <w:p w14:paraId="3692E0E8"/>
    <w:p w14:paraId="3F76BBFF">
      <w:pPr>
        <w:pStyle w:val="2"/>
        <w:rPr>
          <w:rFonts w:hint="eastAsia"/>
        </w:rPr>
        <w:sectPr>
          <w:footerReference r:id="rId3" w:type="default"/>
          <w:pgSz w:w="11906" w:h="16838"/>
          <w:pgMar w:top="2098" w:right="1474" w:bottom="1984" w:left="1587" w:header="851" w:footer="850" w:gutter="0"/>
          <w:pgNumType w:fmt="decimal"/>
          <w:cols w:space="0" w:num="1"/>
          <w:rtlGutter w:val="0"/>
          <w:docGrid w:type="lines" w:linePitch="312" w:charSpace="0"/>
        </w:sectPr>
      </w:pPr>
    </w:p>
    <w:p w14:paraId="55CCD759">
      <w:pPr>
        <w:keepNext w:val="0"/>
        <w:keepLines w:val="0"/>
        <w:pageBreakBefore w:val="0"/>
        <w:kinsoku/>
        <w:overflowPunct/>
        <w:topLinePunct w:val="0"/>
        <w:bidi w:val="0"/>
        <w:adjustRightInd/>
        <w:snapToGrid/>
        <w:spacing w:line="579" w:lineRule="exact"/>
        <w:ind w:firstLine="640" w:firstLineChars="200"/>
        <w:outlineLvl w:val="1"/>
        <w:rPr>
          <w:rFonts w:hint="eastAsia" w:ascii="仿宋_GB2312" w:hAnsi="仿宋_GB2312" w:eastAsia="仿宋_GB2312" w:cs="仿宋_GB2312"/>
          <w:bCs/>
          <w:sz w:val="32"/>
          <w:szCs w:val="32"/>
          <w:highlight w:val="none"/>
          <w:lang w:val="en-US" w:eastAsia="zh-CN"/>
        </w:rPr>
      </w:pPr>
    </w:p>
    <w:p w14:paraId="44E6B6C0">
      <w:pPr>
        <w:pStyle w:val="8"/>
        <w:rPr>
          <w:rFonts w:hint="eastAsia" w:ascii="仿宋_GB2312" w:hAnsi="仿宋_GB2312" w:eastAsia="仿宋_GB2312" w:cs="仿宋_GB2312"/>
          <w:bCs/>
          <w:sz w:val="32"/>
          <w:szCs w:val="32"/>
          <w:highlight w:val="none"/>
        </w:rPr>
      </w:pPr>
    </w:p>
    <w:p w14:paraId="4C3CEBBC">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1C4B963-BC25-42DD-A73F-4404F1FAE79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03C90AD9-D237-49D6-B4D8-711604B24260}"/>
  </w:font>
  <w:font w:name="仿宋_GB2312">
    <w:panose1 w:val="02010609030101010101"/>
    <w:charset w:val="86"/>
    <w:family w:val="auto"/>
    <w:pitch w:val="default"/>
    <w:sig w:usb0="00000001" w:usb1="080E0000" w:usb2="00000000" w:usb3="00000000" w:csb0="00040000" w:csb1="00000000"/>
    <w:embedRegular r:id="rId3" w:fontKey="{98EB989D-25F0-4F1E-9835-AECBE1E14DA2}"/>
  </w:font>
  <w:font w:name="方正大标宋简体">
    <w:panose1 w:val="03000509000000000000"/>
    <w:charset w:val="86"/>
    <w:family w:val="auto"/>
    <w:pitch w:val="default"/>
    <w:sig w:usb0="00000001" w:usb1="080E0000" w:usb2="00000000" w:usb3="00000000" w:csb0="00040000" w:csb1="00000000"/>
    <w:embedRegular r:id="rId4" w:fontKey="{AD32FB5E-5A64-412A-B35C-9F601E672413}"/>
  </w:font>
  <w:font w:name="楷体_GB2312">
    <w:panose1 w:val="02010609030101010101"/>
    <w:charset w:val="86"/>
    <w:family w:val="auto"/>
    <w:pitch w:val="default"/>
    <w:sig w:usb0="00000001" w:usb1="080E0000" w:usb2="00000000" w:usb3="00000000" w:csb0="00040000" w:csb1="00000000"/>
    <w:embedRegular r:id="rId5" w:fontKey="{5D8ED64C-D5CC-4521-B921-B57C4B033DE8}"/>
  </w:font>
  <w:font w:name="方正小标宋简体">
    <w:panose1 w:val="03000509000000000000"/>
    <w:charset w:val="86"/>
    <w:family w:val="auto"/>
    <w:pitch w:val="default"/>
    <w:sig w:usb0="00000001" w:usb1="080E0000" w:usb2="00000000" w:usb3="00000000" w:csb0="00040000" w:csb1="00000000"/>
    <w:embedRegular r:id="rId6" w:fontKey="{E83A66C3-4D73-4194-8573-252410A806D3}"/>
  </w:font>
  <w:font w:name="方正小标宋_GBK">
    <w:panose1 w:val="03000509000000000000"/>
    <w:charset w:val="86"/>
    <w:family w:val="script"/>
    <w:pitch w:val="default"/>
    <w:sig w:usb0="00000001" w:usb1="080E0000" w:usb2="00000000" w:usb3="00000000" w:csb0="00040000" w:csb1="00000000"/>
    <w:embedRegular r:id="rId7" w:fontKey="{5318DC9E-41ED-4FCE-A133-AC8E5BE2BDBF}"/>
  </w:font>
  <w:font w:name="微软雅黑">
    <w:panose1 w:val="020B0503020204020204"/>
    <w:charset w:val="86"/>
    <w:family w:val="auto"/>
    <w:pitch w:val="default"/>
    <w:sig w:usb0="80000287" w:usb1="280F3C52" w:usb2="00000016" w:usb3="00000000" w:csb0="0004001F" w:csb1="00000000"/>
    <w:embedRegular r:id="rId8" w:fontKey="{3BB4B554-9A2B-4D18-A318-8E1026C8696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AB81B">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5156A9">
                          <w:pPr>
                            <w:pStyle w:val="6"/>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25156A9">
                    <w:pPr>
                      <w:pStyle w:val="6"/>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QwYTA1ZWY1NmU0ODUwMzc4ZDk5MzExMzQxNGRiMmIifQ=="/>
    <w:docVar w:name="KSO_WPS_MARK_KEY" w:val="dda25b6d-5b7b-47a3-8951-8e0bbc54effe"/>
  </w:docVars>
  <w:rsids>
    <w:rsidRoot w:val="00000000"/>
    <w:rsid w:val="02585055"/>
    <w:rsid w:val="06587D3C"/>
    <w:rsid w:val="079E79DA"/>
    <w:rsid w:val="091F4B4B"/>
    <w:rsid w:val="0C120997"/>
    <w:rsid w:val="0D5E30A2"/>
    <w:rsid w:val="0D7D1FCA"/>
    <w:rsid w:val="0E5D4E26"/>
    <w:rsid w:val="0F165D69"/>
    <w:rsid w:val="0FD46AE0"/>
    <w:rsid w:val="0FE12B5A"/>
    <w:rsid w:val="108C1EAE"/>
    <w:rsid w:val="10E00769"/>
    <w:rsid w:val="12A32349"/>
    <w:rsid w:val="17CB2D75"/>
    <w:rsid w:val="18E84F59"/>
    <w:rsid w:val="196C5B8A"/>
    <w:rsid w:val="1A965070"/>
    <w:rsid w:val="1CAD32DC"/>
    <w:rsid w:val="1EEE0E3C"/>
    <w:rsid w:val="1F1D16D5"/>
    <w:rsid w:val="202F7912"/>
    <w:rsid w:val="2120502F"/>
    <w:rsid w:val="21ED0FE9"/>
    <w:rsid w:val="249B49DE"/>
    <w:rsid w:val="24C86B8A"/>
    <w:rsid w:val="24D34D10"/>
    <w:rsid w:val="268F2EB8"/>
    <w:rsid w:val="281E2746"/>
    <w:rsid w:val="283D6944"/>
    <w:rsid w:val="29325D7D"/>
    <w:rsid w:val="296E660D"/>
    <w:rsid w:val="297851C3"/>
    <w:rsid w:val="2B0F6376"/>
    <w:rsid w:val="2B2D7144"/>
    <w:rsid w:val="2B9B3029"/>
    <w:rsid w:val="2E376E42"/>
    <w:rsid w:val="32F26CA9"/>
    <w:rsid w:val="33666FF1"/>
    <w:rsid w:val="338378A0"/>
    <w:rsid w:val="341B4A8C"/>
    <w:rsid w:val="344351D6"/>
    <w:rsid w:val="3457457F"/>
    <w:rsid w:val="34BD4FF4"/>
    <w:rsid w:val="357A4D33"/>
    <w:rsid w:val="364315C9"/>
    <w:rsid w:val="3667175C"/>
    <w:rsid w:val="37353608"/>
    <w:rsid w:val="37A42641"/>
    <w:rsid w:val="3A5169AB"/>
    <w:rsid w:val="3CBF0783"/>
    <w:rsid w:val="3DCC00F6"/>
    <w:rsid w:val="3F863681"/>
    <w:rsid w:val="42862F6A"/>
    <w:rsid w:val="430F2F5F"/>
    <w:rsid w:val="457663ED"/>
    <w:rsid w:val="47044DA5"/>
    <w:rsid w:val="47B61DE1"/>
    <w:rsid w:val="49B27967"/>
    <w:rsid w:val="4B9366F7"/>
    <w:rsid w:val="4CE354AC"/>
    <w:rsid w:val="4D3D2DBF"/>
    <w:rsid w:val="4FD01CC8"/>
    <w:rsid w:val="50BE7D72"/>
    <w:rsid w:val="549A4653"/>
    <w:rsid w:val="5587107B"/>
    <w:rsid w:val="56D71A69"/>
    <w:rsid w:val="59396B30"/>
    <w:rsid w:val="5DE54B90"/>
    <w:rsid w:val="5E2E320E"/>
    <w:rsid w:val="5FDB26EF"/>
    <w:rsid w:val="5FEB4543"/>
    <w:rsid w:val="6336173A"/>
    <w:rsid w:val="63E87795"/>
    <w:rsid w:val="661E1587"/>
    <w:rsid w:val="6A0960AB"/>
    <w:rsid w:val="6D9C0FE4"/>
    <w:rsid w:val="6E5A6DD8"/>
    <w:rsid w:val="6F2B2ECD"/>
    <w:rsid w:val="730D6C0C"/>
    <w:rsid w:val="73EA4857"/>
    <w:rsid w:val="74F57957"/>
    <w:rsid w:val="75F75951"/>
    <w:rsid w:val="76E01F63"/>
    <w:rsid w:val="79017442"/>
    <w:rsid w:val="7A37631C"/>
    <w:rsid w:val="7A82051E"/>
    <w:rsid w:val="7C6B04FF"/>
    <w:rsid w:val="7F963A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jc w:val="center"/>
    </w:pPr>
    <w:rPr>
      <w:rFonts w:ascii="宋体"/>
      <w:sz w:val="44"/>
      <w:szCs w:val="44"/>
    </w:rPr>
  </w:style>
  <w:style w:type="paragraph" w:styleId="3">
    <w:name w:val="Normal Indent"/>
    <w:basedOn w:val="1"/>
    <w:qFormat/>
    <w:uiPriority w:val="0"/>
    <w:pPr>
      <w:widowControl w:val="0"/>
      <w:spacing w:line="560" w:lineRule="atLeast"/>
      <w:ind w:firstLine="420"/>
      <w:jc w:val="both"/>
    </w:pPr>
    <w:rPr>
      <w:rFonts w:ascii="Times New Roman" w:hAnsi="Times New Roman" w:eastAsia="宋体" w:cs="Times New Roman"/>
      <w:kern w:val="2"/>
      <w:sz w:val="32"/>
      <w:szCs w:val="32"/>
      <w:lang w:val="en-US" w:eastAsia="zh-CN" w:bidi="ar-SA"/>
    </w:rPr>
  </w:style>
  <w:style w:type="paragraph" w:styleId="4">
    <w:name w:val="annotation text"/>
    <w:basedOn w:val="1"/>
    <w:qFormat/>
    <w:uiPriority w:val="0"/>
    <w:pPr>
      <w:jc w:val="left"/>
    </w:pPr>
  </w:style>
  <w:style w:type="paragraph" w:styleId="5">
    <w:name w:val="Body Text Indent"/>
    <w:basedOn w:val="1"/>
    <w:qFormat/>
    <w:uiPriority w:val="0"/>
    <w:pPr>
      <w:ind w:firstLine="640" w:firstLineChars="200"/>
    </w:pPr>
    <w:rPr>
      <w:rFonts w:ascii="仿宋_GB2312" w:eastAsia="仿宋_GB2312"/>
      <w:sz w:val="32"/>
    </w:rPr>
  </w:style>
  <w:style w:type="paragraph" w:styleId="6">
    <w:name w:val="footer"/>
    <w:basedOn w:val="1"/>
    <w:qFormat/>
    <w:uiPriority w:val="0"/>
    <w:pPr>
      <w:tabs>
        <w:tab w:val="center" w:pos="4153"/>
        <w:tab w:val="right" w:pos="8306"/>
      </w:tabs>
      <w:snapToGrid w:val="0"/>
      <w:jc w:val="left"/>
    </w:pPr>
    <w:rPr>
      <w:sz w:val="18"/>
    </w:rPr>
  </w:style>
  <w:style w:type="paragraph" w:styleId="7">
    <w:name w:val="envelope return"/>
    <w:basedOn w:val="1"/>
    <w:qFormat/>
    <w:uiPriority w:val="0"/>
    <w:rPr>
      <w:rFonts w:ascii="Arial" w:hAnsi="Arial"/>
    </w:rPr>
  </w:style>
  <w:style w:type="paragraph" w:styleId="8">
    <w:name w:val="Body Text First Indent"/>
    <w:next w:val="1"/>
    <w:qFormat/>
    <w:uiPriority w:val="0"/>
    <w:pPr>
      <w:widowControl w:val="0"/>
      <w:ind w:firstLine="420" w:firstLineChars="100"/>
      <w:jc w:val="center"/>
    </w:pPr>
    <w:rPr>
      <w:rFonts w:ascii="宋体" w:hAnsi="Times New Roman" w:eastAsia="宋体" w:cs="Times New Roman"/>
      <w:kern w:val="2"/>
      <w:sz w:val="44"/>
      <w:szCs w:val="24"/>
      <w:lang w:val="en-US" w:eastAsia="zh-CN" w:bidi="ar-SA"/>
    </w:rPr>
  </w:style>
  <w:style w:type="paragraph" w:styleId="9">
    <w:name w:val="Body Text First Indent 2"/>
    <w:basedOn w:val="5"/>
    <w:qFormat/>
    <w:uiPriority w:val="0"/>
    <w:pPr>
      <w:ind w:firstLine="420" w:firstLineChars="200"/>
    </w:p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paragraph" w:customStyle="1" w:styleId="14">
    <w:name w:val="p0"/>
    <w:qFormat/>
    <w:uiPriority w:val="0"/>
    <w:pPr>
      <w:jc w:val="both"/>
    </w:pPr>
    <w:rPr>
      <w:rFonts w:hint="eastAsia" w:ascii="宋体" w:hAnsi="宋体"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7731</Words>
  <Characters>8195</Characters>
  <Lines>0</Lines>
  <Paragraphs>0</Paragraphs>
  <TotalTime>3</TotalTime>
  <ScaleCrop>false</ScaleCrop>
  <LinksUpToDate>false</LinksUpToDate>
  <CharactersWithSpaces>8661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2024-04-11T07:06:00Z</dcterms:created>
  <dc:creator>admin</dc:creator>
  <cp:lastModifiedBy>郭珊燕</cp:lastModifiedBy>
  <cp:lastPrinted>2025-04-16T01:39:00Z</cp:lastPrinted>
  <dcterms:modified xsi:type="dcterms:W3CDTF">2025-04-16T03:12:16Z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24F6F27DE05D4C0B8BC6D2E0CC95BBED_12</vt:lpwstr>
  </property>
  <property fmtid="{D5CDD505-2E9C-101B-9397-08002B2CF9AE}" pid="4" name="KSOTemplateDocerSaveRecord">
    <vt:lpwstr>eyJoZGlkIjoiODhhNzBiOTk4YWQwY2IzMDEyMDJlMWI1NGY2ODZiYzUiLCJ1c2VySWQiOiIzNjc5NTA1NTgifQ==</vt:lpwstr>
  </property>
</Properties>
</file>