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DE493">
      <w:pPr>
        <w:keepNext w:val="0"/>
        <w:keepLines w:val="0"/>
        <w:pageBreakBefore w:val="0"/>
        <w:widowControl w:val="0"/>
        <w:kinsoku/>
        <w:wordWrap/>
        <w:overflowPunct/>
        <w:topLinePunct w:val="0"/>
        <w:autoSpaceDE w:val="0"/>
        <w:autoSpaceDN w:val="0"/>
        <w:bidi w:val="0"/>
        <w:adjustRightInd/>
        <w:snapToGrid/>
        <w:spacing w:before="0" w:beforeLines="0" w:after="0" w:afterLines="0" w:line="579" w:lineRule="exact"/>
        <w:ind w:left="0" w:leftChars="0" w:right="0" w:rightChars="0"/>
        <w:jc w:val="center"/>
        <w:textAlignment w:val="auto"/>
        <w:outlineLvl w:val="9"/>
        <w:rPr>
          <w:rFonts w:hint="eastAsia" w:ascii="方正小标宋简体" w:hAnsi="方正小标宋简体" w:eastAsia="方正小标宋简体" w:cs="方正小标宋简体"/>
          <w:color w:val="auto"/>
          <w:spacing w:val="-2"/>
          <w:kern w:val="2"/>
          <w:sz w:val="44"/>
          <w:szCs w:val="44"/>
          <w:lang w:val="en-US" w:eastAsia="zh-CN" w:bidi="ar-SA"/>
        </w:rPr>
      </w:pPr>
      <w:r>
        <w:rPr>
          <w:rFonts w:hint="eastAsia" w:ascii="方正小标宋简体" w:hAnsi="方正小标宋简体" w:eastAsia="方正小标宋简体" w:cs="方正小标宋简体"/>
          <w:color w:val="auto"/>
          <w:spacing w:val="-2"/>
          <w:kern w:val="2"/>
          <w:sz w:val="44"/>
          <w:szCs w:val="44"/>
          <w:lang w:val="en-US" w:eastAsia="zh-CN" w:bidi="ar-SA"/>
        </w:rPr>
        <w:t>2025年新洲社区南粤家政“圳管家”训练营项目采购需求</w:t>
      </w:r>
    </w:p>
    <w:p w14:paraId="6800B5BE">
      <w:pPr>
        <w:keepNext w:val="0"/>
        <w:keepLines w:val="0"/>
        <w:pageBreakBefore w:val="0"/>
        <w:widowControl w:val="0"/>
        <w:kinsoku/>
        <w:wordWrap/>
        <w:overflowPunct/>
        <w:topLinePunct w:val="0"/>
        <w:bidi w:val="0"/>
        <w:adjustRightInd/>
        <w:snapToGrid/>
        <w:spacing w:line="579" w:lineRule="exact"/>
        <w:ind w:firstLine="640" w:firstLineChars="200"/>
        <w:textAlignment w:val="auto"/>
        <w:outlineLvl w:val="1"/>
        <w:rPr>
          <w:rFonts w:hint="eastAsia" w:ascii="黑体" w:hAnsi="黑体" w:eastAsia="黑体" w:cs="黑体"/>
          <w:bCs/>
          <w:sz w:val="32"/>
          <w:szCs w:val="32"/>
          <w:highlight w:val="none"/>
        </w:rPr>
      </w:pPr>
    </w:p>
    <w:p w14:paraId="3816D7F1">
      <w:pPr>
        <w:keepNext w:val="0"/>
        <w:keepLines w:val="0"/>
        <w:pageBreakBefore w:val="0"/>
        <w:widowControl w:val="0"/>
        <w:kinsoku/>
        <w:wordWrap/>
        <w:overflowPunct/>
        <w:topLinePunct w:val="0"/>
        <w:bidi w:val="0"/>
        <w:adjustRightInd/>
        <w:snapToGrid/>
        <w:spacing w:line="579" w:lineRule="exact"/>
        <w:ind w:firstLine="640" w:firstLineChars="200"/>
        <w:textAlignment w:val="auto"/>
        <w:outlineLvl w:val="9"/>
        <w:rPr>
          <w:rFonts w:hint="eastAsia" w:ascii="黑体" w:hAnsi="黑体" w:eastAsia="黑体" w:cs="黑体"/>
          <w:bCs/>
          <w:sz w:val="32"/>
          <w:szCs w:val="32"/>
          <w:highlight w:val="none"/>
        </w:rPr>
      </w:pPr>
      <w:r>
        <w:rPr>
          <w:rFonts w:hint="eastAsia" w:ascii="黑体" w:hAnsi="黑体" w:eastAsia="黑体" w:cs="黑体"/>
          <w:bCs/>
          <w:sz w:val="32"/>
          <w:szCs w:val="32"/>
          <w:highlight w:val="none"/>
        </w:rPr>
        <w:t>一、采购项目概况</w:t>
      </w:r>
    </w:p>
    <w:p w14:paraId="5B61B78F">
      <w:pPr>
        <w:keepNext w:val="0"/>
        <w:keepLines w:val="0"/>
        <w:pageBreakBefore w:val="0"/>
        <w:widowControl w:val="0"/>
        <w:kinsoku/>
        <w:wordWrap/>
        <w:overflowPunct/>
        <w:topLinePunct w:val="0"/>
        <w:bidi w:val="0"/>
        <w:adjustRightInd/>
        <w:snapToGrid/>
        <w:spacing w:line="579" w:lineRule="exact"/>
        <w:ind w:firstLine="700" w:firstLineChars="200"/>
        <w:textAlignment w:val="auto"/>
        <w:outlineLvl w:val="9"/>
        <w:rPr>
          <w:rFonts w:hint="eastAsia" w:ascii="仿宋_GB2312" w:hAnsi="仿宋_GB2312" w:eastAsia="仿宋_GB2312" w:cs="仿宋_GB2312"/>
          <w:color w:val="000000"/>
          <w:spacing w:val="15"/>
          <w:kern w:val="44"/>
          <w:sz w:val="32"/>
          <w:szCs w:val="32"/>
          <w:lang w:val="en-US" w:eastAsia="zh-CN" w:bidi="ar"/>
        </w:rPr>
      </w:pPr>
      <w:r>
        <w:rPr>
          <w:rFonts w:hint="eastAsia" w:ascii="仿宋_GB2312" w:hAnsi="仿宋_GB2312" w:eastAsia="仿宋_GB2312" w:cs="仿宋_GB2312"/>
          <w:color w:val="000000"/>
          <w:spacing w:val="15"/>
          <w:kern w:val="44"/>
          <w:sz w:val="32"/>
          <w:szCs w:val="32"/>
          <w:lang w:val="en-US" w:eastAsia="zh-CN" w:bidi="ar"/>
        </w:rPr>
        <w:t>南粤家政作为新洲社区品牌工程，群众反响热烈。本项目旨在通过养老护理员、育婴员和母婴护理员三种技能培训，给社区灵活就业人员、待业人员提供多元化的学习机会，推动就业创业，提升社区整体服务水平</w:t>
      </w:r>
    </w:p>
    <w:p w14:paraId="71EB6863">
      <w:pPr>
        <w:keepNext w:val="0"/>
        <w:keepLines w:val="0"/>
        <w:pageBreakBefore w:val="0"/>
        <w:widowControl w:val="0"/>
        <w:kinsoku/>
        <w:wordWrap/>
        <w:overflowPunct/>
        <w:topLinePunct w:val="0"/>
        <w:bidi w:val="0"/>
        <w:adjustRightInd/>
        <w:snapToGrid/>
        <w:spacing w:line="579" w:lineRule="exact"/>
        <w:ind w:firstLine="640" w:firstLineChars="200"/>
        <w:textAlignment w:val="auto"/>
        <w:outlineLvl w:val="9"/>
        <w:rPr>
          <w:rFonts w:hint="eastAsia" w:ascii="黑体" w:hAnsi="黑体" w:eastAsia="黑体" w:cs="黑体"/>
          <w:bCs/>
          <w:sz w:val="32"/>
          <w:szCs w:val="32"/>
          <w:highlight w:val="none"/>
        </w:rPr>
      </w:pPr>
      <w:r>
        <w:rPr>
          <w:rFonts w:hint="eastAsia" w:ascii="黑体" w:hAnsi="黑体" w:eastAsia="黑体" w:cs="黑体"/>
          <w:bCs/>
          <w:sz w:val="32"/>
          <w:szCs w:val="32"/>
          <w:highlight w:val="none"/>
        </w:rPr>
        <w:t>二、项目管理和服务要求</w:t>
      </w:r>
    </w:p>
    <w:p w14:paraId="2F9962BC">
      <w:pPr>
        <w:keepNext w:val="0"/>
        <w:keepLines w:val="0"/>
        <w:pageBreakBefore w:val="0"/>
        <w:widowControl w:val="0"/>
        <w:kinsoku/>
        <w:wordWrap/>
        <w:overflowPunct/>
        <w:topLinePunct w:val="0"/>
        <w:autoSpaceDE/>
        <w:autoSpaceDN/>
        <w:bidi w:val="0"/>
        <w:adjustRightInd/>
        <w:snapToGrid/>
        <w:spacing w:line="579" w:lineRule="exact"/>
        <w:ind w:firstLine="700" w:firstLineChars="200"/>
        <w:textAlignment w:val="auto"/>
        <w:rPr>
          <w:rFonts w:hint="eastAsia" w:ascii="仿宋_GB2312" w:hAnsi="仿宋_GB2312" w:eastAsia="仿宋_GB2312" w:cs="仿宋_GB2312"/>
          <w:color w:val="000000"/>
          <w:spacing w:val="15"/>
          <w:kern w:val="44"/>
          <w:sz w:val="32"/>
          <w:szCs w:val="32"/>
          <w:lang w:val="en-US" w:eastAsia="zh-CN" w:bidi="ar"/>
        </w:rPr>
      </w:pPr>
      <w:r>
        <w:rPr>
          <w:rFonts w:hint="eastAsia" w:ascii="仿宋_GB2312" w:hAnsi="仿宋_GB2312" w:eastAsia="仿宋_GB2312" w:cs="仿宋_GB2312"/>
          <w:color w:val="000000"/>
          <w:spacing w:val="15"/>
          <w:kern w:val="44"/>
          <w:sz w:val="32"/>
          <w:szCs w:val="32"/>
          <w:lang w:val="en-US" w:eastAsia="zh-CN" w:bidi="ar"/>
        </w:rPr>
        <w:t>（一） 养老护理员技能培训模块</w:t>
      </w:r>
    </w:p>
    <w:p w14:paraId="00135263">
      <w:pPr>
        <w:keepNext w:val="0"/>
        <w:keepLines w:val="0"/>
        <w:pageBreakBefore w:val="0"/>
        <w:widowControl w:val="0"/>
        <w:kinsoku/>
        <w:wordWrap/>
        <w:overflowPunct/>
        <w:topLinePunct w:val="0"/>
        <w:autoSpaceDE/>
        <w:autoSpaceDN/>
        <w:bidi w:val="0"/>
        <w:adjustRightInd/>
        <w:snapToGrid/>
        <w:spacing w:line="579" w:lineRule="exact"/>
        <w:ind w:firstLine="700" w:firstLineChars="200"/>
        <w:textAlignment w:val="auto"/>
        <w:rPr>
          <w:rFonts w:hint="eastAsia" w:ascii="仿宋_GB2312" w:hAnsi="仿宋_GB2312" w:eastAsia="仿宋_GB2312" w:cs="仿宋_GB2312"/>
          <w:color w:val="000000"/>
          <w:spacing w:val="15"/>
          <w:kern w:val="44"/>
          <w:sz w:val="32"/>
          <w:szCs w:val="32"/>
          <w:lang w:val="en-US" w:eastAsia="zh-CN" w:bidi="ar"/>
        </w:rPr>
      </w:pPr>
      <w:r>
        <w:rPr>
          <w:rFonts w:hint="eastAsia" w:ascii="仿宋_GB2312" w:hAnsi="仿宋_GB2312" w:eastAsia="仿宋_GB2312" w:cs="仿宋_GB2312"/>
          <w:color w:val="000000"/>
          <w:spacing w:val="15"/>
          <w:kern w:val="44"/>
          <w:sz w:val="32"/>
          <w:szCs w:val="32"/>
          <w:lang w:val="en-US" w:eastAsia="zh-CN" w:bidi="ar"/>
        </w:rPr>
        <w:t>课程内容：职业素养、基础知识、健康评估、体征观测、清洁照护、饮食照护、排泄照护、睡眠照护、环境清洁、失智照护、用药照护、风险应对、安宁服务、康乐活动、功能促进、沟通交流、老年人营养餐制作、家庭收纳、沟通技巧、安全与急救等。</w:t>
      </w:r>
    </w:p>
    <w:p w14:paraId="16D1761A">
      <w:pPr>
        <w:keepNext w:val="0"/>
        <w:keepLines w:val="0"/>
        <w:pageBreakBefore w:val="0"/>
        <w:widowControl w:val="0"/>
        <w:kinsoku/>
        <w:wordWrap/>
        <w:overflowPunct/>
        <w:topLinePunct w:val="0"/>
        <w:autoSpaceDE/>
        <w:autoSpaceDN/>
        <w:bidi w:val="0"/>
        <w:adjustRightInd/>
        <w:snapToGrid/>
        <w:spacing w:line="579" w:lineRule="exact"/>
        <w:ind w:firstLine="700" w:firstLineChars="200"/>
        <w:textAlignment w:val="auto"/>
        <w:rPr>
          <w:rFonts w:hint="eastAsia" w:ascii="仿宋_GB2312" w:hAnsi="仿宋_GB2312" w:eastAsia="仿宋_GB2312" w:cs="仿宋_GB2312"/>
          <w:color w:val="000000"/>
          <w:spacing w:val="15"/>
          <w:kern w:val="44"/>
          <w:sz w:val="32"/>
          <w:szCs w:val="32"/>
          <w:lang w:val="en-US" w:eastAsia="zh-CN" w:bidi="ar"/>
        </w:rPr>
      </w:pPr>
      <w:r>
        <w:rPr>
          <w:rFonts w:hint="eastAsia" w:ascii="仿宋_GB2312" w:hAnsi="仿宋_GB2312" w:eastAsia="仿宋_GB2312" w:cs="仿宋_GB2312"/>
          <w:color w:val="000000"/>
          <w:spacing w:val="15"/>
          <w:kern w:val="44"/>
          <w:sz w:val="32"/>
          <w:szCs w:val="32"/>
          <w:lang w:val="en-US" w:eastAsia="zh-CN" w:bidi="ar"/>
        </w:rPr>
        <w:t>课程安排：10天，每天7课时（45分钟/课时），每场35人，共服务350人次。</w:t>
      </w:r>
    </w:p>
    <w:p w14:paraId="5EF1A515">
      <w:pPr>
        <w:keepNext w:val="0"/>
        <w:keepLines w:val="0"/>
        <w:pageBreakBefore w:val="0"/>
        <w:widowControl w:val="0"/>
        <w:numPr>
          <w:ilvl w:val="0"/>
          <w:numId w:val="1"/>
        </w:numPr>
        <w:kinsoku/>
        <w:wordWrap/>
        <w:overflowPunct/>
        <w:topLinePunct w:val="0"/>
        <w:autoSpaceDE/>
        <w:autoSpaceDN/>
        <w:bidi w:val="0"/>
        <w:adjustRightInd/>
        <w:snapToGrid/>
        <w:spacing w:line="579" w:lineRule="exact"/>
        <w:ind w:firstLine="700" w:firstLineChars="200"/>
        <w:textAlignment w:val="auto"/>
        <w:rPr>
          <w:rFonts w:hint="eastAsia" w:ascii="仿宋_GB2312" w:hAnsi="仿宋_GB2312" w:eastAsia="仿宋_GB2312" w:cs="仿宋_GB2312"/>
          <w:color w:val="000000"/>
          <w:spacing w:val="15"/>
          <w:kern w:val="44"/>
          <w:sz w:val="32"/>
          <w:szCs w:val="32"/>
          <w:lang w:val="en-US" w:eastAsia="zh-CN" w:bidi="ar"/>
        </w:rPr>
      </w:pPr>
      <w:r>
        <w:rPr>
          <w:rFonts w:hint="eastAsia" w:ascii="仿宋_GB2312" w:hAnsi="仿宋_GB2312" w:eastAsia="仿宋_GB2312" w:cs="仿宋_GB2312"/>
          <w:color w:val="000000"/>
          <w:spacing w:val="15"/>
          <w:kern w:val="44"/>
          <w:sz w:val="32"/>
          <w:szCs w:val="32"/>
          <w:lang w:val="en-US" w:eastAsia="zh-CN" w:bidi="ar"/>
        </w:rPr>
        <w:t>育婴员技能培训模块</w:t>
      </w:r>
    </w:p>
    <w:p w14:paraId="29704764">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700" w:firstLineChars="200"/>
        <w:textAlignment w:val="auto"/>
        <w:rPr>
          <w:rFonts w:hint="eastAsia" w:ascii="仿宋_GB2312" w:hAnsi="仿宋_GB2312" w:eastAsia="仿宋_GB2312" w:cs="仿宋_GB2312"/>
          <w:color w:val="000000"/>
          <w:spacing w:val="15"/>
          <w:kern w:val="44"/>
          <w:sz w:val="32"/>
          <w:szCs w:val="32"/>
          <w:lang w:val="en-US" w:eastAsia="zh-CN" w:bidi="ar"/>
        </w:rPr>
      </w:pPr>
      <w:r>
        <w:rPr>
          <w:rFonts w:hint="eastAsia" w:ascii="仿宋_GB2312" w:hAnsi="仿宋_GB2312" w:eastAsia="仿宋_GB2312" w:cs="仿宋_GB2312"/>
          <w:color w:val="000000"/>
          <w:spacing w:val="15"/>
          <w:kern w:val="44"/>
          <w:sz w:val="32"/>
          <w:szCs w:val="32"/>
          <w:lang w:val="en-US" w:eastAsia="zh-CN" w:bidi="ar"/>
        </w:rPr>
        <w:t>课程内容：职业道德、基础知识、喂养、排泄与睡眠、盥洗、作息时间安排及预订、出行照护、常规体格检查、预防接种、常见症状护理、特殊婴幼儿保健护理、预防伤害与急救、健康与指导、心理与行为观察、动作发展指导、语言能力培养、认知能力培养、社会性（情感）能力培训等婴幼儿护理、基础早教、辅食儿童餐制作、营养配餐与食谱编制、家庭收纳、衣物熨烫等。</w:t>
      </w:r>
    </w:p>
    <w:p w14:paraId="44C46EDD">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700" w:firstLineChars="200"/>
        <w:textAlignment w:val="auto"/>
        <w:rPr>
          <w:rFonts w:hint="eastAsia" w:ascii="仿宋_GB2312" w:hAnsi="仿宋_GB2312" w:eastAsia="仿宋_GB2312" w:cs="仿宋_GB2312"/>
          <w:color w:val="000000"/>
          <w:spacing w:val="15"/>
          <w:kern w:val="44"/>
          <w:sz w:val="32"/>
          <w:szCs w:val="32"/>
          <w:lang w:val="en-US" w:eastAsia="zh-CN" w:bidi="ar"/>
        </w:rPr>
      </w:pPr>
      <w:r>
        <w:rPr>
          <w:rFonts w:hint="eastAsia" w:ascii="仿宋_GB2312" w:hAnsi="仿宋_GB2312" w:eastAsia="仿宋_GB2312" w:cs="仿宋_GB2312"/>
          <w:color w:val="000000"/>
          <w:spacing w:val="15"/>
          <w:kern w:val="44"/>
          <w:sz w:val="32"/>
          <w:szCs w:val="32"/>
          <w:lang w:val="en-US" w:eastAsia="zh-CN" w:bidi="ar"/>
        </w:rPr>
        <w:t>课程安排：10天，每天7课时（45分钟/课时），每场35人，共服务350人次。</w:t>
      </w:r>
    </w:p>
    <w:p w14:paraId="302A2445">
      <w:pPr>
        <w:keepNext w:val="0"/>
        <w:keepLines w:val="0"/>
        <w:pageBreakBefore w:val="0"/>
        <w:widowControl w:val="0"/>
        <w:numPr>
          <w:ilvl w:val="0"/>
          <w:numId w:val="1"/>
        </w:numPr>
        <w:kinsoku/>
        <w:wordWrap/>
        <w:overflowPunct/>
        <w:topLinePunct w:val="0"/>
        <w:autoSpaceDE/>
        <w:autoSpaceDN/>
        <w:bidi w:val="0"/>
        <w:adjustRightInd/>
        <w:snapToGrid/>
        <w:spacing w:line="579" w:lineRule="exact"/>
        <w:ind w:left="0" w:leftChars="0" w:firstLine="700" w:firstLineChars="200"/>
        <w:textAlignment w:val="auto"/>
        <w:rPr>
          <w:rFonts w:hint="eastAsia" w:ascii="仿宋_GB2312" w:hAnsi="仿宋_GB2312" w:eastAsia="仿宋_GB2312" w:cs="仿宋_GB2312"/>
          <w:color w:val="000000"/>
          <w:spacing w:val="15"/>
          <w:kern w:val="44"/>
          <w:sz w:val="32"/>
          <w:szCs w:val="32"/>
          <w:lang w:val="en-US" w:eastAsia="zh-CN" w:bidi="ar"/>
        </w:rPr>
      </w:pPr>
      <w:r>
        <w:rPr>
          <w:rFonts w:hint="eastAsia" w:ascii="仿宋_GB2312" w:hAnsi="仿宋_GB2312" w:eastAsia="仿宋_GB2312" w:cs="仿宋_GB2312"/>
          <w:color w:val="000000"/>
          <w:spacing w:val="15"/>
          <w:kern w:val="44"/>
          <w:sz w:val="32"/>
          <w:szCs w:val="32"/>
          <w:lang w:val="en-US" w:eastAsia="zh-CN" w:bidi="ar"/>
        </w:rPr>
        <w:t>母婴护理师技能培训模块</w:t>
      </w:r>
    </w:p>
    <w:p w14:paraId="7FB19568">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700" w:firstLineChars="200"/>
        <w:textAlignment w:val="auto"/>
        <w:rPr>
          <w:rFonts w:hint="eastAsia" w:ascii="仿宋_GB2312" w:hAnsi="仿宋_GB2312" w:eastAsia="仿宋_GB2312" w:cs="仿宋_GB2312"/>
          <w:color w:val="000000"/>
          <w:spacing w:val="15"/>
          <w:kern w:val="44"/>
          <w:sz w:val="32"/>
          <w:szCs w:val="32"/>
          <w:lang w:val="en-US" w:eastAsia="zh-CN" w:bidi="ar"/>
        </w:rPr>
      </w:pPr>
      <w:r>
        <w:rPr>
          <w:rFonts w:hint="eastAsia" w:ascii="仿宋_GB2312" w:hAnsi="仿宋_GB2312" w:eastAsia="仿宋_GB2312" w:cs="仿宋_GB2312"/>
          <w:color w:val="000000"/>
          <w:spacing w:val="15"/>
          <w:kern w:val="44"/>
          <w:sz w:val="32"/>
          <w:szCs w:val="32"/>
          <w:lang w:val="en-US" w:eastAsia="zh-CN" w:bidi="ar"/>
        </w:rPr>
        <w:t>课程内容：职业道德、基础知识、新生儿正确抱姿、翻身、拍隔、孕期护理、新生儿（生命体征）、喂养、奶具消毒、冲泡配方奶、新生儿常见疾病、预防接种、新生儿沐浴、新生儿更换纸尿裤、正确包裹宝宝、穿脱衣裤、脐带护理、被动操、新生儿抚触、新生儿常见问题、预防伤害与急救、健康与指导、心理与行为观察、产褥期护理、产褥期常见问题、产妇护理、冲浴、产妇、新生儿常用物品、产妇产后抑郁心理疏导、母乳喂养指导、呛奶。</w:t>
      </w:r>
    </w:p>
    <w:p w14:paraId="52113C36">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700" w:firstLineChars="200"/>
        <w:textAlignment w:val="auto"/>
        <w:rPr>
          <w:rFonts w:hint="eastAsia" w:ascii="仿宋_GB2312" w:hAnsi="仿宋_GB2312" w:eastAsia="仿宋_GB2312" w:cs="仿宋_GB2312"/>
          <w:color w:val="000000"/>
          <w:spacing w:val="15"/>
          <w:kern w:val="44"/>
          <w:sz w:val="32"/>
          <w:szCs w:val="32"/>
          <w:lang w:val="en-US" w:eastAsia="zh-CN" w:bidi="ar"/>
        </w:rPr>
      </w:pPr>
      <w:r>
        <w:rPr>
          <w:rFonts w:hint="eastAsia" w:ascii="仿宋_GB2312" w:hAnsi="仿宋_GB2312" w:eastAsia="仿宋_GB2312" w:cs="仿宋_GB2312"/>
          <w:color w:val="000000"/>
          <w:spacing w:val="15"/>
          <w:kern w:val="44"/>
          <w:sz w:val="32"/>
          <w:szCs w:val="32"/>
          <w:lang w:val="en-US" w:eastAsia="zh-CN" w:bidi="ar"/>
        </w:rPr>
        <w:t>课程安排：10天，每天7课时（45分钟/课时），每场35人，共服务350人次。</w:t>
      </w:r>
    </w:p>
    <w:p w14:paraId="145904AB">
      <w:pPr>
        <w:keepNext w:val="0"/>
        <w:keepLines w:val="0"/>
        <w:pageBreakBefore w:val="0"/>
        <w:widowControl w:val="0"/>
        <w:kinsoku/>
        <w:wordWrap/>
        <w:overflowPunct/>
        <w:topLinePunct w:val="0"/>
        <w:autoSpaceDE/>
        <w:autoSpaceDN/>
        <w:bidi w:val="0"/>
        <w:adjustRightInd/>
        <w:snapToGrid/>
        <w:spacing w:line="579" w:lineRule="exact"/>
        <w:ind w:firstLine="700" w:firstLineChars="200"/>
        <w:textAlignment w:val="auto"/>
        <w:rPr>
          <w:rFonts w:hint="default" w:eastAsia="仿宋_GB2312"/>
          <w:lang w:val="en-US" w:eastAsia="zh-CN"/>
        </w:rPr>
      </w:pPr>
      <w:r>
        <w:rPr>
          <w:rFonts w:hint="eastAsia" w:ascii="仿宋_GB2312" w:hAnsi="仿宋_GB2312" w:eastAsia="仿宋_GB2312" w:cs="仿宋_GB2312"/>
          <w:color w:val="000000"/>
          <w:spacing w:val="15"/>
          <w:kern w:val="44"/>
          <w:sz w:val="32"/>
          <w:szCs w:val="32"/>
          <w:lang w:val="en-US" w:eastAsia="zh-CN" w:bidi="ar"/>
        </w:rPr>
        <w:t>承包人必须是自行提供服务，不得将服务项目进行任何方式的分包、转包。需有专业负责人跟社区进行对接，根据社区要求进行服务；要求服务期限内完成服务内容，并做好存档工作包括文字、照片及其他有必要提供</w:t>
      </w:r>
      <w:r>
        <w:rPr>
          <w:rFonts w:hint="eastAsia" w:ascii="仿宋_GB2312" w:hAnsi="仿宋_GB2312" w:eastAsia="仿宋_GB2312" w:cs="仿宋_GB2312"/>
          <w:b w:val="0"/>
          <w:bCs/>
          <w:color w:val="auto"/>
          <w:sz w:val="32"/>
          <w:szCs w:val="32"/>
          <w:lang w:val="en-US" w:eastAsia="zh-CN"/>
        </w:rPr>
        <w:t>的资料。</w:t>
      </w:r>
    </w:p>
    <w:p w14:paraId="7FA765F4">
      <w:pPr>
        <w:keepNext w:val="0"/>
        <w:keepLines w:val="0"/>
        <w:pageBreakBefore w:val="0"/>
        <w:widowControl w:val="0"/>
        <w:kinsoku/>
        <w:wordWrap/>
        <w:overflowPunct/>
        <w:topLinePunct w:val="0"/>
        <w:bidi w:val="0"/>
        <w:adjustRightInd/>
        <w:snapToGrid/>
        <w:spacing w:line="579" w:lineRule="exact"/>
        <w:ind w:firstLine="640" w:firstLineChars="200"/>
        <w:textAlignment w:val="auto"/>
        <w:outlineLvl w:val="9"/>
        <w:rPr>
          <w:rFonts w:hint="eastAsia" w:ascii="黑体" w:hAnsi="黑体" w:eastAsia="黑体" w:cs="黑体"/>
          <w:bCs/>
          <w:sz w:val="32"/>
          <w:szCs w:val="32"/>
          <w:highlight w:val="none"/>
        </w:rPr>
      </w:pPr>
      <w:r>
        <w:rPr>
          <w:rFonts w:hint="eastAsia" w:ascii="黑体" w:hAnsi="黑体" w:eastAsia="黑体" w:cs="黑体"/>
          <w:bCs/>
          <w:sz w:val="32"/>
          <w:szCs w:val="32"/>
          <w:highlight w:val="none"/>
        </w:rPr>
        <w:t>三、商务需求</w:t>
      </w:r>
    </w:p>
    <w:p w14:paraId="0237353E">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Times New Roman" w:eastAsia="仿宋_GB2312" w:cs="Times New Roman"/>
          <w:bCs/>
          <w:sz w:val="32"/>
          <w:szCs w:val="32"/>
          <w:highlight w:val="none"/>
        </w:rPr>
        <w:t>（一）服务期</w:t>
      </w:r>
      <w:r>
        <w:rPr>
          <w:rFonts w:hint="eastAsia" w:ascii="仿宋_GB2312" w:hAnsi="Times New Roman" w:eastAsia="仿宋_GB2312" w:cs="Times New Roman"/>
          <w:bCs/>
          <w:sz w:val="32"/>
          <w:szCs w:val="32"/>
          <w:highlight w:val="none"/>
          <w:lang w:eastAsia="zh-CN"/>
        </w:rPr>
        <w:t>：合同签订之日起至</w:t>
      </w:r>
      <w:r>
        <w:rPr>
          <w:rFonts w:hint="eastAsia" w:ascii="仿宋_GB2312" w:hAnsi="Times New Roman" w:eastAsia="仿宋_GB2312" w:cs="Times New Roman"/>
          <w:bCs/>
          <w:sz w:val="32"/>
          <w:szCs w:val="32"/>
          <w:highlight w:val="none"/>
          <w:lang w:val="en-US" w:eastAsia="zh-CN"/>
        </w:rPr>
        <w:t>2025年11月，</w:t>
      </w:r>
      <w:r>
        <w:rPr>
          <w:rFonts w:hint="eastAsia" w:ascii="仿宋_GB2312" w:hAnsi="Times New Roman" w:eastAsia="仿宋_GB2312" w:cs="Times New Roman"/>
          <w:bCs/>
          <w:sz w:val="32"/>
          <w:szCs w:val="32"/>
          <w:highlight w:val="none"/>
          <w:lang w:eastAsia="zh-CN"/>
        </w:rPr>
        <w:t>服务期为</w:t>
      </w:r>
      <w:r>
        <w:rPr>
          <w:rFonts w:hint="eastAsia" w:ascii="仿宋_GB2312" w:hAnsi="Times New Roman" w:eastAsia="仿宋_GB2312" w:cs="Times New Roman"/>
          <w:bCs/>
          <w:sz w:val="32"/>
          <w:szCs w:val="32"/>
          <w:highlight w:val="none"/>
          <w:lang w:val="en-US" w:eastAsia="zh-CN"/>
        </w:rPr>
        <w:t>30</w:t>
      </w:r>
      <w:r>
        <w:rPr>
          <w:rFonts w:hint="eastAsia" w:ascii="仿宋_GB2312" w:hAnsi="Times New Roman" w:eastAsia="仿宋_GB2312" w:cs="Times New Roman"/>
          <w:bCs/>
          <w:sz w:val="32"/>
          <w:szCs w:val="32"/>
          <w:highlight w:val="none"/>
          <w:lang w:eastAsia="zh-CN"/>
        </w:rPr>
        <w:t>天（日历日）内（具体日期以合同签订为主）</w:t>
      </w:r>
    </w:p>
    <w:p w14:paraId="5069731C">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hint="default" w:ascii="仿宋_GB2312" w:hAnsi="Times New Roman" w:eastAsia="仿宋_GB2312" w:cs="Times New Roman"/>
          <w:bCs/>
          <w:sz w:val="32"/>
          <w:szCs w:val="32"/>
          <w:highlight w:val="none"/>
          <w:lang w:val="en-US" w:eastAsia="zh-CN"/>
        </w:rPr>
      </w:pPr>
      <w:r>
        <w:rPr>
          <w:rFonts w:hint="eastAsia" w:ascii="仿宋_GB2312" w:hAnsi="Times New Roman" w:eastAsia="仿宋_GB2312" w:cs="Times New Roman"/>
          <w:bCs/>
          <w:sz w:val="32"/>
          <w:szCs w:val="32"/>
          <w:highlight w:val="none"/>
        </w:rPr>
        <w:t>（二）服务地点：</w:t>
      </w:r>
      <w:r>
        <w:rPr>
          <w:rFonts w:hint="eastAsia" w:ascii="仿宋_GB2312" w:hAnsi="Times New Roman" w:eastAsia="仿宋_GB2312" w:cs="Times New Roman"/>
          <w:bCs/>
          <w:sz w:val="32"/>
          <w:szCs w:val="32"/>
          <w:highlight w:val="none"/>
          <w:lang w:val="en-US" w:eastAsia="zh-CN"/>
        </w:rPr>
        <w:t>沙头街道新洲社区党群服务中心</w:t>
      </w:r>
    </w:p>
    <w:p w14:paraId="52341924">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hint="eastAsia" w:ascii="仿宋_GB2312" w:hAnsi="Times New Roman" w:eastAsia="仿宋_GB2312" w:cs="Times New Roman"/>
          <w:bCs/>
          <w:sz w:val="32"/>
          <w:szCs w:val="32"/>
          <w:highlight w:val="none"/>
          <w:lang w:eastAsia="zh-CN"/>
        </w:rPr>
      </w:pPr>
      <w:r>
        <w:rPr>
          <w:rFonts w:hint="eastAsia" w:ascii="仿宋_GB2312" w:hAnsi="Times New Roman" w:eastAsia="仿宋_GB2312" w:cs="Times New Roman"/>
          <w:bCs/>
          <w:sz w:val="32"/>
          <w:szCs w:val="32"/>
          <w:highlight w:val="none"/>
        </w:rPr>
        <w:t>（</w:t>
      </w:r>
      <w:r>
        <w:rPr>
          <w:rFonts w:hint="eastAsia" w:ascii="仿宋_GB2312" w:hAnsi="Times New Roman" w:eastAsia="仿宋_GB2312" w:cs="Times New Roman"/>
          <w:bCs/>
          <w:sz w:val="32"/>
          <w:szCs w:val="32"/>
          <w:highlight w:val="none"/>
          <w:lang w:eastAsia="zh-CN"/>
        </w:rPr>
        <w:t>三</w:t>
      </w:r>
      <w:r>
        <w:rPr>
          <w:rFonts w:hint="eastAsia" w:ascii="仿宋_GB2312" w:hAnsi="Times New Roman" w:eastAsia="仿宋_GB2312" w:cs="Times New Roman"/>
          <w:bCs/>
          <w:sz w:val="32"/>
          <w:szCs w:val="32"/>
          <w:highlight w:val="none"/>
        </w:rPr>
        <w:t>）报价要求：</w:t>
      </w:r>
    </w:p>
    <w:p w14:paraId="7CD6382A">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hint="eastAsia" w:ascii="仿宋_GB2312" w:hAnsi="Times New Roman" w:eastAsia="仿宋_GB2312" w:cs="Times New Roman"/>
          <w:bCs/>
          <w:sz w:val="32"/>
          <w:szCs w:val="32"/>
          <w:highlight w:val="none"/>
          <w:lang w:val="en-US" w:eastAsia="zh-CN"/>
        </w:rPr>
      </w:pPr>
      <w:r>
        <w:rPr>
          <w:rFonts w:hint="eastAsia" w:ascii="仿宋_GB2312" w:hAnsi="Times New Roman" w:eastAsia="仿宋_GB2312" w:cs="Times New Roman"/>
          <w:bCs/>
          <w:sz w:val="32"/>
          <w:szCs w:val="32"/>
          <w:highlight w:val="none"/>
          <w:lang w:val="en-US" w:eastAsia="zh-CN"/>
        </w:rPr>
        <w:t>1.本项目预算金额：人民币139854 元，响应报价超过项目预算金额的视为无效响应。最终合同签订价格以我单位聘请的第三方会计师事务所审核价格为准；</w:t>
      </w:r>
    </w:p>
    <w:p w14:paraId="7989EAF2">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hint="eastAsia" w:ascii="仿宋_GB2312" w:hAnsi="Times New Roman" w:eastAsia="仿宋_GB2312" w:cs="Times New Roman"/>
          <w:bCs/>
          <w:sz w:val="32"/>
          <w:szCs w:val="32"/>
          <w:highlight w:val="none"/>
          <w:lang w:val="en-US" w:eastAsia="zh-CN"/>
        </w:rPr>
      </w:pPr>
      <w:r>
        <w:rPr>
          <w:rFonts w:hint="eastAsia" w:ascii="仿宋_GB2312" w:hAnsi="Times New Roman" w:eastAsia="仿宋_GB2312" w:cs="Times New Roman"/>
          <w:bCs/>
          <w:sz w:val="32"/>
          <w:szCs w:val="32"/>
          <w:highlight w:val="none"/>
          <w:lang w:val="en-US" w:eastAsia="zh-CN"/>
        </w:rPr>
        <w:t>2.响应总价必须是完成该项目的一切费用总和，包括涉及的各项服务费，以及国家规定的各项税费等一切费用。</w:t>
      </w:r>
    </w:p>
    <w:p w14:paraId="392AF089">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hint="eastAsia" w:ascii="仿宋_GB2312" w:hAnsi="Times New Roman" w:eastAsia="仿宋_GB2312" w:cs="Times New Roman"/>
          <w:bCs/>
          <w:sz w:val="32"/>
          <w:szCs w:val="32"/>
          <w:highlight w:val="none"/>
          <w:lang w:val="en-US" w:eastAsia="zh-CN"/>
        </w:rPr>
      </w:pPr>
      <w:r>
        <w:rPr>
          <w:rFonts w:hint="eastAsia" w:ascii="黑体" w:hAnsi="黑体" w:eastAsia="黑体" w:cs="黑体"/>
          <w:bCs/>
          <w:sz w:val="32"/>
          <w:szCs w:val="32"/>
          <w:highlight w:val="none"/>
          <w:lang w:val="en-US" w:eastAsia="zh-CN"/>
        </w:rPr>
        <w:t>四、</w:t>
      </w:r>
      <w:r>
        <w:rPr>
          <w:rFonts w:hint="eastAsia" w:ascii="黑体" w:hAnsi="黑体" w:eastAsia="黑体" w:cs="黑体"/>
          <w:bCs/>
          <w:sz w:val="32"/>
          <w:szCs w:val="32"/>
          <w:highlight w:val="none"/>
        </w:rPr>
        <w:t>付款方式：</w:t>
      </w:r>
      <w:r>
        <w:rPr>
          <w:rFonts w:hint="eastAsia" w:ascii="仿宋_GB2312" w:hAnsi="仿宋_GB2312" w:eastAsia="仿宋_GB2312" w:cs="仿宋_GB2312"/>
          <w:sz w:val="32"/>
          <w:szCs w:val="32"/>
          <w:lang w:eastAsia="zh-CN"/>
        </w:rPr>
        <w:t>服务结束后供应商提交合格发票等资料给甲方，甲方在收到资料后</w:t>
      </w:r>
      <w:r>
        <w:rPr>
          <w:rFonts w:hint="eastAsia" w:ascii="仿宋_GB2312" w:hAnsi="仿宋_GB2312" w:eastAsia="仿宋_GB2312" w:cs="仿宋_GB2312"/>
          <w:sz w:val="32"/>
          <w:szCs w:val="32"/>
          <w:lang w:val="en-US" w:eastAsia="zh-CN"/>
        </w:rPr>
        <w:t>15天内一次性付款</w:t>
      </w:r>
    </w:p>
    <w:p w14:paraId="3A2CB7C3">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hint="eastAsia" w:ascii="仿宋_GB2312" w:hAnsi="Times New Roman" w:eastAsia="仿宋_GB2312" w:cs="Times New Roman"/>
          <w:bCs/>
          <w:sz w:val="32"/>
          <w:szCs w:val="32"/>
          <w:highlight w:val="none"/>
        </w:rPr>
      </w:pPr>
      <w:r>
        <w:rPr>
          <w:rFonts w:hint="eastAsia" w:ascii="黑体" w:hAnsi="黑体" w:eastAsia="黑体" w:cs="黑体"/>
          <w:bCs/>
          <w:sz w:val="32"/>
          <w:szCs w:val="32"/>
          <w:highlight w:val="none"/>
          <w:lang w:val="en-US" w:eastAsia="zh-CN"/>
        </w:rPr>
        <w:t>五、验收</w:t>
      </w:r>
      <w:r>
        <w:rPr>
          <w:rFonts w:hint="eastAsia" w:ascii="黑体" w:hAnsi="黑体" w:eastAsia="黑体" w:cs="黑体"/>
          <w:bCs/>
          <w:sz w:val="32"/>
          <w:szCs w:val="32"/>
          <w:highlight w:val="none"/>
        </w:rPr>
        <w:t>要求：</w:t>
      </w:r>
      <w:r>
        <w:rPr>
          <w:rFonts w:hint="eastAsia" w:ascii="仿宋_GB2312" w:hAnsi="Times New Roman" w:eastAsia="仿宋_GB2312" w:cs="Times New Roman"/>
          <w:bCs/>
          <w:sz w:val="32"/>
          <w:szCs w:val="32"/>
          <w:highlight w:val="none"/>
        </w:rPr>
        <w:t>项目服务期到期后，将按照合同约定的服务内容对供应商的服务进行逐项验收。项目验收后，双方共同签署验收报告，验收报告内容包括每一项技术、服务、安全标准的验收情况及项目总体评价，验收报告将作为服务费尾款支付的重要依据。</w:t>
      </w:r>
    </w:p>
    <w:p w14:paraId="017A62BC">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hint="eastAsia" w:ascii="黑体" w:hAnsi="黑体" w:eastAsia="黑体" w:cs="黑体"/>
          <w:bCs/>
          <w:sz w:val="32"/>
          <w:szCs w:val="32"/>
          <w:highlight w:val="none"/>
        </w:rPr>
      </w:pPr>
      <w:r>
        <w:rPr>
          <w:rFonts w:hint="eastAsia" w:ascii="黑体" w:hAnsi="黑体" w:eastAsia="黑体" w:cs="黑体"/>
          <w:bCs/>
          <w:sz w:val="32"/>
          <w:szCs w:val="32"/>
          <w:highlight w:val="none"/>
          <w:lang w:val="en-US" w:eastAsia="zh-CN"/>
        </w:rPr>
        <w:t>六、违约责任</w:t>
      </w:r>
    </w:p>
    <w:p w14:paraId="1B7755B1">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1.任意一方未履行合同义务或履行瑕疵的，应承担相应的违约责任。</w:t>
      </w:r>
    </w:p>
    <w:p w14:paraId="71D5AF5A">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2.乙方因工作错漏、疏忽、失误等过失使甲方与任意第三方产生争议和纠纷的，由乙方负责处理并承担由此产生的一切后果及法律责任；给甲方造成损失的，乙方应承担赔偿责任。</w:t>
      </w:r>
    </w:p>
    <w:p w14:paraId="40070B64">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3.乙方未在约定期限内完成服务项目的，每逾期1日按照合同暂定价</w:t>
      </w:r>
      <w:r>
        <w:rPr>
          <w:rFonts w:hint="eastAsia" w:ascii="仿宋_GB2312" w:hAnsi="Times New Roman" w:eastAsia="仿宋_GB2312" w:cs="Times New Roman"/>
          <w:bCs/>
          <w:sz w:val="32"/>
          <w:szCs w:val="32"/>
          <w:u w:val="single"/>
        </w:rPr>
        <w:t xml:space="preserve"> 3 </w:t>
      </w:r>
      <w:r>
        <w:rPr>
          <w:rFonts w:hint="eastAsia" w:ascii="仿宋_GB2312" w:hAnsi="Times New Roman" w:eastAsia="仿宋_GB2312" w:cs="Times New Roman"/>
          <w:bCs/>
          <w:sz w:val="32"/>
          <w:szCs w:val="32"/>
        </w:rPr>
        <w:t>‰向甲方支付逾期违约金。逾期超过叁日，甲方有权解除合同并按合同暂定价</w:t>
      </w:r>
      <w:r>
        <w:rPr>
          <w:rFonts w:hint="eastAsia" w:ascii="仿宋_GB2312" w:hAnsi="Times New Roman" w:eastAsia="仿宋_GB2312" w:cs="Times New Roman"/>
          <w:bCs/>
          <w:sz w:val="32"/>
          <w:szCs w:val="32"/>
          <w:u w:val="single"/>
        </w:rPr>
        <w:t xml:space="preserve"> 2 </w:t>
      </w:r>
      <w:r>
        <w:rPr>
          <w:rFonts w:hint="eastAsia" w:ascii="仿宋_GB2312" w:hAnsi="Times New Roman" w:eastAsia="仿宋_GB2312" w:cs="Times New Roman"/>
          <w:bCs/>
          <w:sz w:val="32"/>
          <w:szCs w:val="32"/>
        </w:rPr>
        <w:t>%向甲方支付违约金。</w:t>
      </w:r>
    </w:p>
    <w:p w14:paraId="6B55932E">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4.乙方完成的项目成果经验收不合格，甲方要求整改后再次验收不合格的，甲方有权解除合同并按合同暂定价</w:t>
      </w:r>
      <w:r>
        <w:rPr>
          <w:rFonts w:hint="eastAsia" w:ascii="仿宋_GB2312" w:hAnsi="Times New Roman" w:eastAsia="仿宋_GB2312" w:cs="Times New Roman"/>
          <w:bCs/>
          <w:sz w:val="32"/>
          <w:szCs w:val="32"/>
          <w:u w:val="single"/>
        </w:rPr>
        <w:t xml:space="preserve"> 2 </w:t>
      </w:r>
      <w:r>
        <w:rPr>
          <w:rFonts w:hint="eastAsia" w:ascii="仿宋_GB2312" w:hAnsi="Times New Roman" w:eastAsia="仿宋_GB2312" w:cs="Times New Roman"/>
          <w:bCs/>
          <w:sz w:val="32"/>
          <w:szCs w:val="32"/>
        </w:rPr>
        <w:t>%向甲方支付违约金。</w:t>
      </w:r>
    </w:p>
    <w:p w14:paraId="5E3C351D">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5、未经甲方同意，乙方擅自将合同义务的全部或者部分转让给第三人，甲方有权要求乙方按合同暂定价</w:t>
      </w:r>
      <w:r>
        <w:rPr>
          <w:rFonts w:hint="eastAsia" w:ascii="仿宋_GB2312" w:hAnsi="Times New Roman" w:eastAsia="仿宋_GB2312" w:cs="Times New Roman"/>
          <w:bCs/>
          <w:sz w:val="32"/>
          <w:szCs w:val="32"/>
          <w:u w:val="single"/>
        </w:rPr>
        <w:t xml:space="preserve"> 2 </w:t>
      </w:r>
      <w:r>
        <w:rPr>
          <w:rFonts w:hint="eastAsia" w:ascii="仿宋_GB2312" w:hAnsi="Times New Roman" w:eastAsia="仿宋_GB2312" w:cs="Times New Roman"/>
          <w:bCs/>
          <w:sz w:val="32"/>
          <w:szCs w:val="32"/>
        </w:rPr>
        <w:t>%支付违约金，并有权解除合同。</w:t>
      </w:r>
    </w:p>
    <w:p w14:paraId="73364C30">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6、乙方及其工作人员违反本协议约定的保密义务，甲方有权要求乙方支付合同暂定价款</w:t>
      </w:r>
      <w:r>
        <w:rPr>
          <w:rFonts w:hint="eastAsia" w:ascii="仿宋_GB2312" w:hAnsi="Times New Roman" w:eastAsia="仿宋_GB2312" w:cs="Times New Roman"/>
          <w:bCs/>
          <w:sz w:val="32"/>
          <w:szCs w:val="32"/>
          <w:u w:val="single"/>
        </w:rPr>
        <w:t xml:space="preserve"> 10 </w:t>
      </w:r>
      <w:r>
        <w:rPr>
          <w:rFonts w:hint="eastAsia" w:ascii="仿宋_GB2312" w:hAnsi="Times New Roman" w:eastAsia="仿宋_GB2312" w:cs="Times New Roman"/>
          <w:bCs/>
          <w:sz w:val="32"/>
          <w:szCs w:val="32"/>
        </w:rPr>
        <w:t>%的违约金；造成不良影响或对甲方造成损失的，甲方有权要求乙方消除影响，承担赔偿责任，并有权解除协议。</w:t>
      </w:r>
    </w:p>
    <w:p w14:paraId="51083AD9">
      <w:pPr>
        <w:pStyle w:val="11"/>
        <w:keepNext w:val="0"/>
        <w:keepLines w:val="0"/>
        <w:pageBreakBefore w:val="0"/>
        <w:widowControl w:val="0"/>
        <w:kinsoku/>
        <w:wordWrap/>
        <w:overflowPunct/>
        <w:topLinePunct w:val="0"/>
        <w:autoSpaceDE/>
        <w:autoSpaceDN/>
        <w:bidi w:val="0"/>
        <w:adjustRightInd/>
        <w:snapToGrid/>
        <w:spacing w:line="579" w:lineRule="exact"/>
        <w:ind w:left="0" w:leftChars="0"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七、</w:t>
      </w:r>
      <w:r>
        <w:rPr>
          <w:rFonts w:hint="eastAsia" w:ascii="黑体" w:hAnsi="黑体" w:eastAsia="黑体" w:cs="黑体"/>
          <w:kern w:val="2"/>
          <w:sz w:val="32"/>
          <w:szCs w:val="32"/>
          <w:lang w:val="en-US" w:eastAsia="zh-CN" w:bidi="ar-SA"/>
        </w:rPr>
        <w:t>供应商资格要求</w:t>
      </w:r>
    </w:p>
    <w:p w14:paraId="4F6C76B6">
      <w:pPr>
        <w:pStyle w:val="2"/>
        <w:keepNext w:val="0"/>
        <w:keepLines w:val="0"/>
        <w:pageBreakBefore w:val="0"/>
        <w:widowControl w:val="0"/>
        <w:kinsoku/>
        <w:wordWrap/>
        <w:overflowPunct/>
        <w:topLinePunct w:val="0"/>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1、响应供应商须为具有独立承担民事责任能力的法人或非法人组织（独立法人提供营业执照扫描件或复印件；非法人组织则提供主管部门颁发或批准成立的证书或其他证明文件扫描件或复印件）。</w:t>
      </w:r>
    </w:p>
    <w:p w14:paraId="36D4912A">
      <w:pPr>
        <w:pStyle w:val="2"/>
        <w:keepNext w:val="0"/>
        <w:keepLines w:val="0"/>
        <w:pageBreakBefore w:val="0"/>
        <w:widowControl w:val="0"/>
        <w:kinsoku/>
        <w:wordWrap/>
        <w:overflowPunct/>
        <w:topLinePunct w:val="0"/>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2、满足《中华人民共和国政府采购法》第二十二条规定。</w:t>
      </w:r>
    </w:p>
    <w:p w14:paraId="411EEFCD">
      <w:pPr>
        <w:pStyle w:val="2"/>
        <w:keepNext w:val="0"/>
        <w:keepLines w:val="0"/>
        <w:pageBreakBefore w:val="0"/>
        <w:widowControl w:val="0"/>
        <w:kinsoku/>
        <w:wordWrap/>
        <w:overflowPunct/>
        <w:topLinePunct w:val="0"/>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3、单位负责人为同一人或者存在直接控股、管理关系的不同供应商，不得参加同一合同项下的政府采购活动。</w:t>
      </w:r>
    </w:p>
    <w:p w14:paraId="1BCE02B4">
      <w:pPr>
        <w:pStyle w:val="2"/>
        <w:keepNext w:val="0"/>
        <w:keepLines w:val="0"/>
        <w:pageBreakBefore w:val="0"/>
        <w:widowControl w:val="0"/>
        <w:kinsoku/>
        <w:wordWrap/>
        <w:overflowPunct/>
        <w:topLinePunct w:val="0"/>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4、本项目不接受联合体投标，不允许分包转包，不接受供应商采用进口产品参与投标。</w:t>
      </w:r>
    </w:p>
    <w:p w14:paraId="591903F7">
      <w:pPr>
        <w:spacing w:line="579" w:lineRule="exact"/>
        <w:ind w:firstLine="640" w:firstLineChars="200"/>
        <w:outlineLvl w:val="0"/>
        <w:rPr>
          <w:rFonts w:hint="eastAsia" w:ascii="黑体" w:hAnsi="黑体" w:eastAsia="黑体" w:cs="黑体"/>
          <w:kern w:val="2"/>
          <w:sz w:val="32"/>
          <w:szCs w:val="32"/>
          <w:highlight w:val="none"/>
          <w:lang w:val="en-US" w:eastAsia="zh-CN" w:bidi="ar-SA"/>
        </w:rPr>
      </w:pPr>
      <w:r>
        <w:rPr>
          <w:rFonts w:hint="eastAsia" w:ascii="黑体" w:hAnsi="黑体" w:eastAsia="黑体" w:cs="黑体"/>
          <w:sz w:val="32"/>
          <w:szCs w:val="32"/>
          <w:highlight w:val="none"/>
          <w:lang w:eastAsia="zh-CN"/>
        </w:rPr>
        <w:t>八、</w:t>
      </w:r>
      <w:r>
        <w:rPr>
          <w:rFonts w:hint="eastAsia" w:ascii="黑体" w:hAnsi="黑体" w:eastAsia="黑体" w:cs="黑体"/>
          <w:kern w:val="2"/>
          <w:sz w:val="32"/>
          <w:szCs w:val="32"/>
          <w:highlight w:val="none"/>
          <w:lang w:val="en-US" w:eastAsia="zh-CN" w:bidi="ar-SA"/>
        </w:rPr>
        <w:t>评标信息</w:t>
      </w:r>
    </w:p>
    <w:p w14:paraId="10AC8443">
      <w:pPr>
        <w:spacing w:line="579" w:lineRule="exact"/>
        <w:ind w:firstLine="640" w:firstLineChars="200"/>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本次评标采用综合评分法，按照招标文件中规定的各项因素进行量化打分，以评标总得分最高的供应商为中标候选供应商。</w:t>
      </w:r>
    </w:p>
    <w:p w14:paraId="353351C4">
      <w:pPr>
        <w:spacing w:line="579" w:lineRule="exact"/>
        <w:ind w:firstLine="640" w:firstLineChars="200"/>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确定中标供应商按评审后得分由高到低顺序排序。得分排名前3名的供应商作为中标候选人。得分相同的，按投标报价由低到高排列。得分且投标报价相同的，按技术指标优劣顺序排列。综合得分、投标报价及技术得分均相同的，评标委员会成员通过表决以少数服从多数原则，决定列前中标候选人。</w:t>
      </w:r>
    </w:p>
    <w:p w14:paraId="12B065AE">
      <w:pPr>
        <w:widowControl w:val="0"/>
        <w:tabs>
          <w:tab w:val="left" w:pos="562"/>
          <w:tab w:val="left" w:pos="3372"/>
          <w:tab w:val="left" w:pos="3653"/>
        </w:tabs>
        <w:spacing w:line="360" w:lineRule="auto"/>
        <w:ind w:firstLine="640" w:firstLineChars="200"/>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价格分应当采用低价优先法计算，即满足招标文件要求且投标价格最低的投标报价为评标基准价，其价格分为满分。其他投标人的价格分统一按照下列公式计算：</w:t>
      </w:r>
      <w:r>
        <w:rPr>
          <w:rFonts w:hint="eastAsia" w:ascii="仿宋_GB2312" w:hAnsi="仿宋_GB2312" w:eastAsia="仿宋_GB2312" w:cs="仿宋_GB2312"/>
          <w:kern w:val="2"/>
          <w:sz w:val="32"/>
          <w:szCs w:val="32"/>
          <w:highlight w:val="none"/>
          <w:lang w:val="en-US" w:eastAsia="zh-CN" w:bidi="ar-SA"/>
        </w:rPr>
        <w:br w:type="textWrapping"/>
      </w:r>
      <w:r>
        <w:rPr>
          <w:rFonts w:hint="eastAsia" w:ascii="仿宋_GB2312" w:hAnsi="仿宋_GB2312" w:eastAsia="仿宋_GB2312" w:cs="仿宋_GB2312"/>
          <w:kern w:val="2"/>
          <w:sz w:val="32"/>
          <w:szCs w:val="32"/>
          <w:highlight w:val="none"/>
          <w:lang w:val="en-US" w:eastAsia="zh-CN" w:bidi="ar-SA"/>
        </w:rPr>
        <w:t xml:space="preserve">    投标报价得分=(评标基准价/投标报价)×100</w:t>
      </w:r>
      <w:r>
        <w:rPr>
          <w:rFonts w:hint="eastAsia" w:ascii="仿宋_GB2312" w:hAnsi="仿宋_GB2312" w:eastAsia="仿宋_GB2312" w:cs="仿宋_GB2312"/>
          <w:kern w:val="2"/>
          <w:sz w:val="32"/>
          <w:szCs w:val="32"/>
          <w:highlight w:val="none"/>
          <w:lang w:val="en-US" w:eastAsia="zh-CN" w:bidi="ar-SA"/>
        </w:rPr>
        <w:br w:type="textWrapping"/>
      </w:r>
      <w:r>
        <w:rPr>
          <w:rFonts w:hint="eastAsia" w:ascii="仿宋_GB2312" w:hAnsi="仿宋_GB2312" w:eastAsia="仿宋_GB2312" w:cs="仿宋_GB2312"/>
          <w:kern w:val="2"/>
          <w:sz w:val="32"/>
          <w:szCs w:val="32"/>
          <w:highlight w:val="none"/>
          <w:lang w:val="en-US" w:eastAsia="zh-CN" w:bidi="ar-SA"/>
        </w:rPr>
        <w:t xml:space="preserve">    评标总得分=F1×A1+F2×A2+……+Fn×An</w:t>
      </w:r>
      <w:r>
        <w:rPr>
          <w:rFonts w:hint="eastAsia" w:ascii="仿宋_GB2312" w:hAnsi="仿宋_GB2312" w:eastAsia="仿宋_GB2312" w:cs="仿宋_GB2312"/>
          <w:kern w:val="2"/>
          <w:sz w:val="32"/>
          <w:szCs w:val="32"/>
          <w:highlight w:val="none"/>
          <w:lang w:val="en-US" w:eastAsia="zh-CN" w:bidi="ar-SA"/>
        </w:rPr>
        <w:br w:type="textWrapping"/>
      </w:r>
      <w:r>
        <w:rPr>
          <w:rFonts w:hint="eastAsia" w:ascii="仿宋_GB2312" w:hAnsi="仿宋_GB2312" w:eastAsia="仿宋_GB2312" w:cs="仿宋_GB2312"/>
          <w:kern w:val="2"/>
          <w:sz w:val="32"/>
          <w:szCs w:val="32"/>
          <w:highlight w:val="none"/>
          <w:lang w:val="en-US" w:eastAsia="zh-CN" w:bidi="ar-SA"/>
        </w:rPr>
        <w:t xml:space="preserve">    F1、F2……Fn分别为各项评审因素的得分；</w:t>
      </w:r>
      <w:r>
        <w:rPr>
          <w:rFonts w:hint="eastAsia" w:ascii="仿宋_GB2312" w:hAnsi="仿宋_GB2312" w:eastAsia="仿宋_GB2312" w:cs="仿宋_GB2312"/>
          <w:kern w:val="2"/>
          <w:sz w:val="32"/>
          <w:szCs w:val="32"/>
          <w:highlight w:val="none"/>
          <w:lang w:val="en-US" w:eastAsia="zh-CN" w:bidi="ar-SA"/>
        </w:rPr>
        <w:br w:type="textWrapping"/>
      </w:r>
      <w:r>
        <w:rPr>
          <w:rFonts w:hint="eastAsia" w:ascii="仿宋_GB2312" w:hAnsi="仿宋_GB2312" w:eastAsia="仿宋_GB2312" w:cs="仿宋_GB2312"/>
          <w:kern w:val="2"/>
          <w:sz w:val="32"/>
          <w:szCs w:val="32"/>
          <w:highlight w:val="none"/>
          <w:lang w:val="en-US" w:eastAsia="zh-CN" w:bidi="ar-SA"/>
        </w:rPr>
        <w:t xml:space="preserve">    A1、A2、……An 分别为各项评审因素所占的权重(A1+A2+……+An=1)。</w:t>
      </w:r>
    </w:p>
    <w:p w14:paraId="5B4D5E73">
      <w:pPr>
        <w:spacing w:line="360" w:lineRule="auto"/>
        <w:ind w:firstLine="640" w:firstLineChars="200"/>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评标委员会对每个通过资格性检查和符合性检查且报价不超过预算控制金额的投标供应商进行评审、打分，然后汇总每个投标供应商每项评分因素的评分，得分精确到小数点后两位（四舍五入）。</w:t>
      </w:r>
    </w:p>
    <w:p w14:paraId="23BAEBE7">
      <w:pPr>
        <w:spacing w:line="360" w:lineRule="auto"/>
        <w:ind w:firstLine="640" w:firstLineChars="200"/>
        <w:jc w:val="left"/>
        <w:rPr>
          <w:rFonts w:hint="eastAsia" w:ascii="方正大标宋简体" w:hAnsi="方正大标宋简体" w:eastAsia="方正大标宋简体" w:cs="方正大标宋简体"/>
          <w:sz w:val="44"/>
          <w:szCs w:val="44"/>
          <w:highlight w:val="none"/>
        </w:rPr>
      </w:pPr>
      <w:r>
        <w:rPr>
          <w:rFonts w:hint="eastAsia" w:ascii="仿宋_GB2312" w:hAnsi="仿宋_GB2312" w:eastAsia="仿宋_GB2312" w:cs="仿宋_GB2312"/>
          <w:kern w:val="2"/>
          <w:sz w:val="32"/>
          <w:szCs w:val="32"/>
          <w:highlight w:val="none"/>
          <w:lang w:val="en-US" w:eastAsia="zh-CN" w:bidi="ar-SA"/>
        </w:rPr>
        <w:t>评委会在评标时，按照以下量化的评审因素，对进入该阶段评审的各投标文件进行分析和比较：</w:t>
      </w:r>
    </w:p>
    <w:p w14:paraId="4BED01A8">
      <w:pPr>
        <w:adjustRightInd/>
        <w:snapToGrid/>
        <w:spacing w:beforeLines="0" w:after="0" w:afterLines="0" w:line="579" w:lineRule="exact"/>
        <w:jc w:val="center"/>
        <w:outlineLvl w:val="0"/>
        <w:rPr>
          <w:rFonts w:hint="eastAsia" w:ascii="方正小标宋_GBK" w:hAnsi="方正小标宋_GBK" w:eastAsia="方正小标宋_GBK" w:cs="方正小标宋_GBK"/>
          <w:sz w:val="32"/>
          <w:szCs w:val="32"/>
          <w:lang w:eastAsia="zh-CN"/>
        </w:rPr>
      </w:pPr>
      <w:r>
        <w:rPr>
          <w:rFonts w:hint="eastAsia" w:ascii="方正大标宋简体" w:hAnsi="方正大标宋简体" w:eastAsia="方正大标宋简体" w:cs="方正大标宋简体"/>
          <w:sz w:val="44"/>
          <w:szCs w:val="44"/>
          <w:highlight w:val="none"/>
        </w:rPr>
        <w:t>供应商</w:t>
      </w:r>
      <w:r>
        <w:rPr>
          <w:rFonts w:hint="eastAsia" w:ascii="方正大标宋简体" w:hAnsi="方正大标宋简体" w:eastAsia="方正大标宋简体" w:cs="方正大标宋简体"/>
          <w:b w:val="0"/>
          <w:kern w:val="2"/>
          <w:sz w:val="44"/>
          <w:szCs w:val="44"/>
          <w:highlight w:val="none"/>
        </w:rPr>
        <w:t>评标信息</w:t>
      </w:r>
    </w:p>
    <w:p w14:paraId="31FA75D5"/>
    <w:tbl>
      <w:tblPr>
        <w:tblStyle w:val="1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4"/>
        <w:gridCol w:w="2257"/>
        <w:gridCol w:w="5295"/>
      </w:tblGrid>
      <w:tr w14:paraId="4125D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2076" w:type="pct"/>
            <w:gridSpan w:val="2"/>
            <w:noWrap w:val="0"/>
            <w:vAlign w:val="center"/>
          </w:tcPr>
          <w:p w14:paraId="540D07E8">
            <w:pPr>
              <w:widowControl/>
              <w:wordWrap w:val="0"/>
              <w:spacing w:beforeLines="0" w:afterLines="0" w:line="400" w:lineRule="exact"/>
              <w:jc w:val="center"/>
              <w:textAlignment w:val="top"/>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项目名称</w:t>
            </w:r>
          </w:p>
        </w:tc>
        <w:tc>
          <w:tcPr>
            <w:tcW w:w="2923" w:type="pct"/>
            <w:noWrap w:val="0"/>
            <w:vAlign w:val="center"/>
          </w:tcPr>
          <w:p w14:paraId="4C91D35B">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center"/>
              <w:textAlignment w:val="top"/>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2025年新洲社区南粤家政“圳管家”训练营项目</w:t>
            </w:r>
          </w:p>
        </w:tc>
      </w:tr>
      <w:tr w14:paraId="18F2B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5" w:hRule="atLeast"/>
        </w:trPr>
        <w:tc>
          <w:tcPr>
            <w:tcW w:w="2076" w:type="pct"/>
            <w:gridSpan w:val="2"/>
            <w:noWrap w:val="0"/>
            <w:vAlign w:val="center"/>
          </w:tcPr>
          <w:p w14:paraId="00F9C659">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（一）价格</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分）</w:t>
            </w:r>
          </w:p>
        </w:tc>
        <w:tc>
          <w:tcPr>
            <w:tcW w:w="2923" w:type="pct"/>
            <w:noWrap w:val="0"/>
            <w:vAlign w:val="center"/>
          </w:tcPr>
          <w:p w14:paraId="157A0BCB">
            <w:pPr>
              <w:widowControl/>
              <w:wordWrap w:val="0"/>
              <w:spacing w:line="400" w:lineRule="exact"/>
              <w:textAlignment w:val="top"/>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价格分计算方法</w:t>
            </w:r>
            <w:r>
              <w:rPr>
                <w:rFonts w:hint="eastAsia" w:ascii="仿宋_GB2312" w:hAnsi="仿宋_GB2312" w:eastAsia="仿宋_GB2312" w:cs="仿宋_GB2312"/>
                <w:color w:val="auto"/>
                <w:kern w:val="2"/>
                <w:sz w:val="32"/>
                <w:szCs w:val="32"/>
                <w:highlight w:val="none"/>
              </w:rPr>
              <w:t>：</w:t>
            </w:r>
          </w:p>
          <w:p w14:paraId="6B23AE4C">
            <w:pPr>
              <w:keepNext w:val="0"/>
              <w:keepLines w:val="0"/>
              <w:pageBreakBefore w:val="0"/>
              <w:widowControl/>
              <w:kinsoku/>
              <w:wordWrap w:val="0"/>
              <w:overflowPunct/>
              <w:topLinePunct w:val="0"/>
              <w:autoSpaceDE/>
              <w:autoSpaceDN/>
              <w:bidi w:val="0"/>
              <w:adjustRightInd/>
              <w:snapToGrid/>
              <w:spacing w:beforeLines="0" w:afterLines="0" w:line="400" w:lineRule="exact"/>
              <w:ind w:firstLine="0" w:firstLineChars="0"/>
              <w:jc w:val="left"/>
              <w:textAlignment w:val="top"/>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采用低价优先法计算，即满足招标文件要求且投标价格最低的投标报价为评标基准价，其价格分为满分。其他投标人的价格分统一按照下列公式计算</w:t>
            </w:r>
            <w:r>
              <w:rPr>
                <w:rFonts w:hint="eastAsia" w:ascii="仿宋_GB2312" w:hAnsi="仿宋_GB2312" w:eastAsia="仿宋_GB2312" w:cs="仿宋_GB2312"/>
                <w:color w:val="auto"/>
                <w:kern w:val="2"/>
                <w:sz w:val="32"/>
                <w:szCs w:val="32"/>
                <w:highlight w:val="none"/>
              </w:rPr>
              <w:t>：</w:t>
            </w:r>
            <w:r>
              <w:rPr>
                <w:rFonts w:hint="eastAsia" w:ascii="仿宋_GB2312" w:hAnsi="仿宋_GB2312" w:eastAsia="仿宋_GB2312" w:cs="仿宋_GB2312"/>
                <w:color w:val="auto"/>
                <w:kern w:val="2"/>
                <w:sz w:val="32"/>
                <w:szCs w:val="32"/>
                <w:lang w:val="en-US" w:eastAsia="zh-CN" w:bidi="ar-SA"/>
              </w:rPr>
              <w:t xml:space="preserve"> </w:t>
            </w:r>
          </w:p>
          <w:p w14:paraId="4CD91BD0">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SA"/>
              </w:rPr>
              <w:t>投标报价得分=(评标基准价／投标报价)×10</w:t>
            </w:r>
          </w:p>
        </w:tc>
      </w:tr>
      <w:tr w14:paraId="2602F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830" w:type="pct"/>
            <w:vMerge w:val="restart"/>
            <w:noWrap w:val="0"/>
            <w:vAlign w:val="center"/>
          </w:tcPr>
          <w:p w14:paraId="0E595957">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（二）技术部分（</w:t>
            </w:r>
            <w:r>
              <w:rPr>
                <w:rFonts w:hint="eastAsia" w:ascii="仿宋_GB2312" w:hAnsi="仿宋_GB2312" w:eastAsia="仿宋_GB2312" w:cs="仿宋_GB2312"/>
                <w:color w:val="auto"/>
                <w:sz w:val="32"/>
                <w:szCs w:val="32"/>
                <w:lang w:val="en-US" w:eastAsia="zh-CN"/>
              </w:rPr>
              <w:t>50</w:t>
            </w:r>
            <w:r>
              <w:rPr>
                <w:rFonts w:hint="eastAsia" w:ascii="仿宋_GB2312" w:hAnsi="仿宋_GB2312" w:eastAsia="仿宋_GB2312" w:cs="仿宋_GB2312"/>
                <w:color w:val="auto"/>
                <w:sz w:val="32"/>
                <w:szCs w:val="32"/>
              </w:rPr>
              <w:t>分</w:t>
            </w:r>
            <w:r>
              <w:rPr>
                <w:rFonts w:hint="eastAsia" w:ascii="仿宋_GB2312" w:hAnsi="仿宋_GB2312" w:eastAsia="仿宋_GB2312" w:cs="仿宋_GB2312"/>
                <w:color w:val="auto"/>
                <w:sz w:val="32"/>
                <w:szCs w:val="32"/>
                <w:lang w:val="en-US" w:eastAsia="zh-CN"/>
              </w:rPr>
              <w:t>)</w:t>
            </w:r>
          </w:p>
        </w:tc>
        <w:tc>
          <w:tcPr>
            <w:tcW w:w="1246" w:type="pct"/>
            <w:noWrap w:val="0"/>
            <w:vAlign w:val="center"/>
          </w:tcPr>
          <w:p w14:paraId="6C7CB4F8">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实施</w:t>
            </w:r>
            <w:r>
              <w:rPr>
                <w:rFonts w:hint="eastAsia" w:ascii="仿宋_GB2312" w:hAnsi="仿宋_GB2312" w:eastAsia="仿宋_GB2312" w:cs="仿宋_GB2312"/>
                <w:color w:val="auto"/>
                <w:sz w:val="32"/>
                <w:szCs w:val="32"/>
              </w:rPr>
              <w:t>方案（</w:t>
            </w:r>
            <w:r>
              <w:rPr>
                <w:rFonts w:hint="eastAsia" w:ascii="仿宋_GB2312" w:hAnsi="仿宋_GB2312" w:eastAsia="仿宋_GB2312" w:cs="仿宋_GB2312"/>
                <w:color w:val="auto"/>
                <w:sz w:val="32"/>
                <w:szCs w:val="32"/>
                <w:lang w:val="en-US" w:eastAsia="zh-CN"/>
              </w:rPr>
              <w:t>课程进度安排，</w:t>
            </w:r>
            <w:r>
              <w:rPr>
                <w:rFonts w:hint="eastAsia" w:ascii="仿宋_GB2312" w:hAnsi="仿宋_GB2312" w:eastAsia="仿宋_GB2312" w:cs="仿宋_GB2312"/>
                <w:color w:val="auto"/>
                <w:sz w:val="32"/>
                <w:szCs w:val="32"/>
                <w:lang w:eastAsia="zh-CN"/>
              </w:rPr>
              <w:t>课程内容</w:t>
            </w:r>
            <w:r>
              <w:rPr>
                <w:rFonts w:hint="eastAsia" w:ascii="仿宋_GB2312" w:hAnsi="仿宋_GB2312" w:eastAsia="仿宋_GB2312" w:cs="仿宋_GB2312"/>
                <w:color w:val="auto"/>
                <w:sz w:val="32"/>
                <w:szCs w:val="32"/>
                <w:lang w:val="en-US" w:eastAsia="zh-CN"/>
              </w:rPr>
              <w:t>安排</w:t>
            </w:r>
            <w:r>
              <w:rPr>
                <w:rFonts w:hint="eastAsia" w:ascii="仿宋_GB2312" w:hAnsi="仿宋_GB2312" w:eastAsia="仿宋_GB2312" w:cs="仿宋_GB2312"/>
                <w:color w:val="auto"/>
                <w:sz w:val="32"/>
                <w:szCs w:val="32"/>
                <w:lang w:eastAsia="zh-CN"/>
              </w:rPr>
              <w:t>，应急预案</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35</w:t>
            </w:r>
            <w:r>
              <w:rPr>
                <w:rFonts w:hint="eastAsia" w:ascii="仿宋_GB2312" w:hAnsi="仿宋_GB2312" w:eastAsia="仿宋_GB2312" w:cs="仿宋_GB2312"/>
                <w:color w:val="auto"/>
                <w:sz w:val="32"/>
                <w:szCs w:val="32"/>
              </w:rPr>
              <w:t>分）</w:t>
            </w:r>
          </w:p>
        </w:tc>
        <w:tc>
          <w:tcPr>
            <w:tcW w:w="2923" w:type="pct"/>
            <w:noWrap w:val="0"/>
            <w:vAlign w:val="center"/>
          </w:tcPr>
          <w:p w14:paraId="21D9D96D">
            <w:pPr>
              <w:keepNext w:val="0"/>
              <w:keepLines w:val="0"/>
              <w:pageBreakBefore w:val="0"/>
              <w:widowControl/>
              <w:kinsoku/>
              <w:wordWrap w:val="0"/>
              <w:overflowPunct/>
              <w:topLinePunct w:val="0"/>
              <w:autoSpaceDE/>
              <w:autoSpaceDN/>
              <w:bidi w:val="0"/>
              <w:adjustRightInd/>
              <w:snapToGrid/>
              <w:spacing w:beforeLines="0" w:afterLines="0" w:line="400" w:lineRule="exact"/>
              <w:ind w:right="0"/>
              <w:jc w:val="left"/>
              <w:textAlignment w:val="top"/>
              <w:rPr>
                <w:rFonts w:hint="eastAsia" w:ascii="黑体" w:hAnsi="黑体" w:eastAsia="黑体" w:cs="黑体"/>
                <w:color w:val="auto"/>
                <w:kern w:val="2"/>
                <w:sz w:val="32"/>
                <w:szCs w:val="32"/>
                <w:highlight w:val="none"/>
              </w:rPr>
            </w:pPr>
            <w:r>
              <w:rPr>
                <w:rFonts w:hint="eastAsia" w:ascii="黑体" w:hAnsi="黑体" w:eastAsia="黑体" w:cs="黑体"/>
                <w:b w:val="0"/>
                <w:bCs w:val="0"/>
                <w:color w:val="auto"/>
                <w:kern w:val="2"/>
                <w:sz w:val="32"/>
                <w:szCs w:val="32"/>
                <w:highlight w:val="none"/>
                <w:lang w:eastAsia="zh-CN"/>
              </w:rPr>
              <w:t>一、</w:t>
            </w:r>
            <w:r>
              <w:rPr>
                <w:rFonts w:hint="eastAsia" w:ascii="黑体" w:hAnsi="黑体" w:eastAsia="黑体" w:cs="黑体"/>
                <w:b w:val="0"/>
                <w:bCs w:val="0"/>
                <w:color w:val="auto"/>
                <w:kern w:val="2"/>
                <w:sz w:val="32"/>
                <w:szCs w:val="32"/>
                <w:highlight w:val="none"/>
              </w:rPr>
              <w:t>考察内容</w:t>
            </w:r>
          </w:p>
          <w:p w14:paraId="109429CC">
            <w:pPr>
              <w:keepNext w:val="0"/>
              <w:keepLines w:val="0"/>
              <w:pageBreakBefore w:val="0"/>
              <w:widowControl/>
              <w:kinsoku/>
              <w:wordWrap w:val="0"/>
              <w:overflowPunct/>
              <w:topLinePunct w:val="0"/>
              <w:autoSpaceDE/>
              <w:autoSpaceDN/>
              <w:bidi w:val="0"/>
              <w:adjustRightInd/>
              <w:snapToGrid/>
              <w:spacing w:beforeLines="0" w:afterLines="0" w:line="400" w:lineRule="exact"/>
              <w:ind w:right="0" w:firstLine="0" w:firstLineChars="0"/>
              <w:jc w:val="left"/>
              <w:textAlignment w:val="top"/>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投标人提供的项目方案中，对</w:t>
            </w:r>
            <w:r>
              <w:rPr>
                <w:rFonts w:hint="eastAsia" w:ascii="仿宋_GB2312" w:hAnsi="仿宋_GB2312" w:eastAsia="仿宋_GB2312" w:cs="仿宋_GB2312"/>
                <w:color w:val="auto"/>
                <w:sz w:val="32"/>
                <w:szCs w:val="32"/>
                <w:lang w:val="en-US" w:eastAsia="zh-CN"/>
              </w:rPr>
              <w:t>课程进度安排，</w:t>
            </w:r>
            <w:r>
              <w:rPr>
                <w:rFonts w:hint="eastAsia" w:ascii="仿宋_GB2312" w:hAnsi="仿宋_GB2312" w:eastAsia="仿宋_GB2312" w:cs="仿宋_GB2312"/>
                <w:color w:val="auto"/>
                <w:sz w:val="32"/>
                <w:szCs w:val="32"/>
                <w:lang w:eastAsia="zh-CN"/>
              </w:rPr>
              <w:t>课程内容</w:t>
            </w:r>
            <w:r>
              <w:rPr>
                <w:rFonts w:hint="eastAsia" w:ascii="仿宋_GB2312" w:hAnsi="仿宋_GB2312" w:eastAsia="仿宋_GB2312" w:cs="仿宋_GB2312"/>
                <w:color w:val="auto"/>
                <w:sz w:val="32"/>
                <w:szCs w:val="32"/>
                <w:lang w:val="en-US" w:eastAsia="zh-CN"/>
              </w:rPr>
              <w:t>安排</w:t>
            </w:r>
            <w:r>
              <w:rPr>
                <w:rFonts w:hint="eastAsia" w:ascii="仿宋_GB2312" w:hAnsi="仿宋_GB2312" w:eastAsia="仿宋_GB2312" w:cs="仿宋_GB2312"/>
                <w:color w:val="auto"/>
                <w:sz w:val="32"/>
                <w:szCs w:val="32"/>
                <w:lang w:eastAsia="zh-CN"/>
              </w:rPr>
              <w:t>，应急预案</w:t>
            </w:r>
            <w:r>
              <w:rPr>
                <w:rFonts w:hint="eastAsia" w:ascii="仿宋_GB2312" w:hAnsi="仿宋_GB2312" w:eastAsia="仿宋_GB2312" w:cs="仿宋_GB2312"/>
                <w:color w:val="auto"/>
                <w:kern w:val="2"/>
                <w:sz w:val="32"/>
                <w:szCs w:val="32"/>
                <w:highlight w:val="none"/>
                <w:lang w:val="en-US" w:eastAsia="zh-CN"/>
              </w:rPr>
              <w:t>描述是否全面、科学、合理。评审委员会根据采购文件的需求和投标文件响应情况进行综合评价。</w:t>
            </w:r>
          </w:p>
          <w:p w14:paraId="1A35D4CA">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（一）投标人提供的项目方案中，对</w:t>
            </w:r>
            <w:r>
              <w:rPr>
                <w:rFonts w:hint="eastAsia" w:ascii="仿宋_GB2312" w:hAnsi="仿宋_GB2312" w:eastAsia="仿宋_GB2312" w:cs="仿宋_GB2312"/>
                <w:color w:val="auto"/>
                <w:sz w:val="32"/>
                <w:szCs w:val="32"/>
                <w:lang w:val="en-US" w:eastAsia="zh-CN"/>
              </w:rPr>
              <w:t>课程进度安排，</w:t>
            </w:r>
            <w:r>
              <w:rPr>
                <w:rFonts w:hint="eastAsia" w:ascii="仿宋_GB2312" w:hAnsi="仿宋_GB2312" w:eastAsia="仿宋_GB2312" w:cs="仿宋_GB2312"/>
                <w:color w:val="auto"/>
                <w:sz w:val="32"/>
                <w:szCs w:val="32"/>
                <w:lang w:eastAsia="zh-CN"/>
              </w:rPr>
              <w:t>课程内容</w:t>
            </w:r>
            <w:r>
              <w:rPr>
                <w:rFonts w:hint="eastAsia" w:ascii="仿宋_GB2312" w:hAnsi="仿宋_GB2312" w:eastAsia="仿宋_GB2312" w:cs="仿宋_GB2312"/>
                <w:color w:val="auto"/>
                <w:sz w:val="32"/>
                <w:szCs w:val="32"/>
                <w:lang w:val="en-US" w:eastAsia="zh-CN"/>
              </w:rPr>
              <w:t>安排</w:t>
            </w:r>
            <w:r>
              <w:rPr>
                <w:rFonts w:hint="eastAsia" w:ascii="仿宋_GB2312" w:hAnsi="仿宋_GB2312" w:eastAsia="仿宋_GB2312" w:cs="仿宋_GB2312"/>
                <w:color w:val="auto"/>
                <w:sz w:val="32"/>
                <w:szCs w:val="32"/>
                <w:lang w:eastAsia="zh-CN"/>
              </w:rPr>
              <w:t>，应急预案</w:t>
            </w:r>
            <w:r>
              <w:rPr>
                <w:rFonts w:hint="eastAsia" w:ascii="仿宋_GB2312" w:hAnsi="仿宋_GB2312" w:eastAsia="仿宋_GB2312" w:cs="仿宋_GB2312"/>
                <w:color w:val="auto"/>
                <w:kern w:val="2"/>
                <w:sz w:val="32"/>
                <w:szCs w:val="32"/>
                <w:highlight w:val="none"/>
                <w:lang w:val="en-US" w:eastAsia="zh-CN"/>
              </w:rPr>
              <w:t>描述全面、科学、合理，得35分。</w:t>
            </w:r>
          </w:p>
          <w:p w14:paraId="23C72AED">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（二）投标人提供的项目方案中，对</w:t>
            </w:r>
            <w:r>
              <w:rPr>
                <w:rFonts w:hint="eastAsia" w:ascii="仿宋_GB2312" w:hAnsi="仿宋_GB2312" w:eastAsia="仿宋_GB2312" w:cs="仿宋_GB2312"/>
                <w:color w:val="auto"/>
                <w:sz w:val="32"/>
                <w:szCs w:val="32"/>
                <w:lang w:val="en-US" w:eastAsia="zh-CN"/>
              </w:rPr>
              <w:t>课程进度安排，</w:t>
            </w:r>
            <w:r>
              <w:rPr>
                <w:rFonts w:hint="eastAsia" w:ascii="仿宋_GB2312" w:hAnsi="仿宋_GB2312" w:eastAsia="仿宋_GB2312" w:cs="仿宋_GB2312"/>
                <w:color w:val="auto"/>
                <w:sz w:val="32"/>
                <w:szCs w:val="32"/>
                <w:lang w:eastAsia="zh-CN"/>
              </w:rPr>
              <w:t>课程内容</w:t>
            </w:r>
            <w:r>
              <w:rPr>
                <w:rFonts w:hint="eastAsia" w:ascii="仿宋_GB2312" w:hAnsi="仿宋_GB2312" w:eastAsia="仿宋_GB2312" w:cs="仿宋_GB2312"/>
                <w:color w:val="auto"/>
                <w:sz w:val="32"/>
                <w:szCs w:val="32"/>
                <w:lang w:val="en-US" w:eastAsia="zh-CN"/>
              </w:rPr>
              <w:t>安排</w:t>
            </w:r>
            <w:r>
              <w:rPr>
                <w:rFonts w:hint="eastAsia" w:ascii="仿宋_GB2312" w:hAnsi="仿宋_GB2312" w:eastAsia="仿宋_GB2312" w:cs="仿宋_GB2312"/>
                <w:color w:val="auto"/>
                <w:sz w:val="32"/>
                <w:szCs w:val="32"/>
                <w:lang w:eastAsia="zh-CN"/>
              </w:rPr>
              <w:t>，应急预案</w:t>
            </w:r>
            <w:r>
              <w:rPr>
                <w:rFonts w:hint="eastAsia" w:ascii="仿宋_GB2312" w:hAnsi="仿宋_GB2312" w:eastAsia="仿宋_GB2312" w:cs="仿宋_GB2312"/>
                <w:color w:val="auto"/>
                <w:kern w:val="2"/>
                <w:sz w:val="32"/>
                <w:szCs w:val="32"/>
                <w:highlight w:val="none"/>
                <w:lang w:val="en-US" w:eastAsia="zh-CN"/>
              </w:rPr>
              <w:t>描述比较全面、科学、得25分。</w:t>
            </w:r>
          </w:p>
          <w:p w14:paraId="19D430C7">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（三）投标人提供的项目方案中，对</w:t>
            </w:r>
            <w:r>
              <w:rPr>
                <w:rFonts w:hint="eastAsia" w:ascii="仿宋_GB2312" w:hAnsi="仿宋_GB2312" w:eastAsia="仿宋_GB2312" w:cs="仿宋_GB2312"/>
                <w:color w:val="auto"/>
                <w:sz w:val="32"/>
                <w:szCs w:val="32"/>
                <w:lang w:val="en-US" w:eastAsia="zh-CN"/>
              </w:rPr>
              <w:t>课程进度安排，</w:t>
            </w:r>
            <w:r>
              <w:rPr>
                <w:rFonts w:hint="eastAsia" w:ascii="仿宋_GB2312" w:hAnsi="仿宋_GB2312" w:eastAsia="仿宋_GB2312" w:cs="仿宋_GB2312"/>
                <w:color w:val="auto"/>
                <w:sz w:val="32"/>
                <w:szCs w:val="32"/>
                <w:lang w:eastAsia="zh-CN"/>
              </w:rPr>
              <w:t>课程内容</w:t>
            </w:r>
            <w:r>
              <w:rPr>
                <w:rFonts w:hint="eastAsia" w:ascii="仿宋_GB2312" w:hAnsi="仿宋_GB2312" w:eastAsia="仿宋_GB2312" w:cs="仿宋_GB2312"/>
                <w:color w:val="auto"/>
                <w:sz w:val="32"/>
                <w:szCs w:val="32"/>
                <w:lang w:val="en-US" w:eastAsia="zh-CN"/>
              </w:rPr>
              <w:t>安排</w:t>
            </w:r>
            <w:r>
              <w:rPr>
                <w:rFonts w:hint="eastAsia" w:ascii="仿宋_GB2312" w:hAnsi="仿宋_GB2312" w:eastAsia="仿宋_GB2312" w:cs="仿宋_GB2312"/>
                <w:color w:val="auto"/>
                <w:sz w:val="32"/>
                <w:szCs w:val="32"/>
                <w:lang w:eastAsia="zh-CN"/>
              </w:rPr>
              <w:t>，应急预案</w:t>
            </w:r>
            <w:r>
              <w:rPr>
                <w:rFonts w:hint="eastAsia" w:ascii="仿宋_GB2312" w:hAnsi="仿宋_GB2312" w:eastAsia="仿宋_GB2312" w:cs="仿宋_GB2312"/>
                <w:color w:val="auto"/>
                <w:kern w:val="2"/>
                <w:sz w:val="32"/>
                <w:szCs w:val="32"/>
                <w:highlight w:val="none"/>
                <w:lang w:val="en-US" w:eastAsia="zh-CN"/>
              </w:rPr>
              <w:t>描述一般，得15分。</w:t>
            </w:r>
          </w:p>
          <w:p w14:paraId="7C200920">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lang w:val="en-US" w:eastAsia="zh-CN"/>
              </w:rPr>
              <w:t>（四）投标人提供的项目方案中，对</w:t>
            </w:r>
            <w:r>
              <w:rPr>
                <w:rFonts w:hint="eastAsia" w:ascii="仿宋_GB2312" w:hAnsi="仿宋_GB2312" w:eastAsia="仿宋_GB2312" w:cs="仿宋_GB2312"/>
                <w:color w:val="auto"/>
                <w:sz w:val="32"/>
                <w:szCs w:val="32"/>
                <w:lang w:eastAsia="zh-CN"/>
              </w:rPr>
              <w:t>课程内容，课程表，应急预案</w:t>
            </w:r>
            <w:r>
              <w:rPr>
                <w:rFonts w:hint="eastAsia" w:ascii="仿宋_GB2312" w:hAnsi="仿宋_GB2312" w:eastAsia="仿宋_GB2312" w:cs="仿宋_GB2312"/>
                <w:color w:val="auto"/>
                <w:kern w:val="2"/>
                <w:sz w:val="32"/>
                <w:szCs w:val="32"/>
                <w:highlight w:val="none"/>
                <w:lang w:val="en-US" w:eastAsia="zh-CN"/>
              </w:rPr>
              <w:t>描述差或者不提供不得分。</w:t>
            </w:r>
          </w:p>
        </w:tc>
      </w:tr>
      <w:tr w14:paraId="3EF42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830" w:type="pct"/>
            <w:vMerge w:val="continue"/>
            <w:noWrap w:val="0"/>
            <w:vAlign w:val="center"/>
          </w:tcPr>
          <w:p w14:paraId="1856AD99">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rPr>
            </w:pPr>
          </w:p>
        </w:tc>
        <w:tc>
          <w:tcPr>
            <w:tcW w:w="1246" w:type="pct"/>
            <w:shd w:val="clear" w:color="auto" w:fill="auto"/>
            <w:noWrap w:val="0"/>
            <w:vAlign w:val="center"/>
          </w:tcPr>
          <w:p w14:paraId="2EA80F62">
            <w:pPr>
              <w:keepNext w:val="0"/>
              <w:keepLines w:val="0"/>
              <w:pageBreakBefore w:val="0"/>
              <w:widowControl/>
              <w:kinsoku/>
              <w:wordWrap w:val="0"/>
              <w:overflowPunct/>
              <w:topLinePunct w:val="0"/>
              <w:autoSpaceDE/>
              <w:autoSpaceDN/>
              <w:bidi w:val="0"/>
              <w:adjustRightInd/>
              <w:snapToGrid/>
              <w:spacing w:beforeLines="0" w:afterLines="0" w:line="400" w:lineRule="exact"/>
              <w:ind w:left="0" w:leftChars="0" w:right="0" w:rightChars="0" w:firstLine="0" w:firstLineChars="0"/>
              <w:jc w:val="left"/>
              <w:textAlignment w:val="top"/>
              <w:rPr>
                <w:rFonts w:hint="eastAsia" w:ascii="Calibri" w:hAnsi="Calibri" w:eastAsia="宋体" w:cs="Times New Roman"/>
                <w:kern w:val="2"/>
                <w:sz w:val="21"/>
                <w:szCs w:val="24"/>
                <w:lang w:val="en-US" w:eastAsia="zh-CN" w:bidi="ar-SA"/>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项目质量管理及保证措施（</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分））</w:t>
            </w:r>
          </w:p>
        </w:tc>
        <w:tc>
          <w:tcPr>
            <w:tcW w:w="2923" w:type="pct"/>
            <w:shd w:val="clear" w:color="auto" w:fill="auto"/>
            <w:noWrap w:val="0"/>
            <w:vAlign w:val="center"/>
          </w:tcPr>
          <w:p w14:paraId="6AB5DB0C">
            <w:pPr>
              <w:keepNext w:val="0"/>
              <w:keepLines w:val="0"/>
              <w:pageBreakBefore w:val="0"/>
              <w:widowControl/>
              <w:kinsoku/>
              <w:wordWrap w:val="0"/>
              <w:overflowPunct/>
              <w:topLinePunct w:val="0"/>
              <w:autoSpaceDE/>
              <w:autoSpaceDN/>
              <w:bidi w:val="0"/>
              <w:adjustRightInd/>
              <w:snapToGrid/>
              <w:spacing w:beforeLines="0" w:afterLines="0" w:line="400" w:lineRule="exact"/>
              <w:ind w:right="0"/>
              <w:jc w:val="left"/>
              <w:textAlignment w:val="top"/>
              <w:rPr>
                <w:rFonts w:hint="eastAsia" w:ascii="黑体" w:hAnsi="黑体" w:eastAsia="黑体" w:cs="黑体"/>
                <w:color w:val="auto"/>
                <w:kern w:val="2"/>
                <w:sz w:val="32"/>
                <w:szCs w:val="32"/>
              </w:rPr>
            </w:pPr>
            <w:r>
              <w:rPr>
                <w:rFonts w:hint="eastAsia" w:ascii="黑体" w:hAnsi="黑体" w:eastAsia="黑体" w:cs="黑体"/>
                <w:b w:val="0"/>
                <w:bCs w:val="0"/>
                <w:color w:val="auto"/>
                <w:kern w:val="2"/>
                <w:sz w:val="32"/>
                <w:szCs w:val="32"/>
                <w:lang w:eastAsia="zh-CN"/>
              </w:rPr>
              <w:t>一、</w:t>
            </w:r>
            <w:r>
              <w:rPr>
                <w:rFonts w:hint="eastAsia" w:ascii="黑体" w:hAnsi="黑体" w:eastAsia="黑体" w:cs="黑体"/>
                <w:b w:val="0"/>
                <w:bCs w:val="0"/>
                <w:color w:val="auto"/>
                <w:kern w:val="2"/>
                <w:sz w:val="32"/>
                <w:szCs w:val="32"/>
              </w:rPr>
              <w:t>考察内容</w:t>
            </w:r>
          </w:p>
          <w:p w14:paraId="31401DF4">
            <w:pPr>
              <w:keepNext w:val="0"/>
              <w:keepLines w:val="0"/>
              <w:pageBreakBefore w:val="0"/>
              <w:widowControl/>
              <w:kinsoku/>
              <w:wordWrap w:val="0"/>
              <w:overflowPunct/>
              <w:topLinePunct w:val="0"/>
              <w:autoSpaceDE/>
              <w:autoSpaceDN/>
              <w:bidi w:val="0"/>
              <w:adjustRightInd/>
              <w:snapToGrid/>
              <w:spacing w:beforeLines="0" w:afterLines="0" w:line="400" w:lineRule="exact"/>
              <w:ind w:right="0" w:firstLine="0" w:firstLineChars="0"/>
              <w:jc w:val="left"/>
              <w:textAlignment w:val="top"/>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投标人提供的质量（完成时间）保障措施及方案是否详细具体。评审委员会根据采购文件的需求和投标文件响应情况进行综合评价。</w:t>
            </w:r>
          </w:p>
          <w:p w14:paraId="356AB309">
            <w:pPr>
              <w:keepNext w:val="0"/>
              <w:keepLines w:val="0"/>
              <w:pageBreakBefore w:val="0"/>
              <w:widowControl/>
              <w:kinsoku/>
              <w:wordWrap w:val="0"/>
              <w:overflowPunct/>
              <w:topLinePunct w:val="0"/>
              <w:autoSpaceDE/>
              <w:autoSpaceDN/>
              <w:bidi w:val="0"/>
              <w:adjustRightInd/>
              <w:snapToGrid/>
              <w:spacing w:beforeLines="0" w:afterLines="0" w:line="400" w:lineRule="exact"/>
              <w:ind w:right="0" w:firstLine="0" w:firstLineChars="0"/>
              <w:jc w:val="left"/>
              <w:textAlignment w:val="top"/>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（一）投标提供的质量（完成时间）保障措施及方案详细具体，得15分。</w:t>
            </w:r>
          </w:p>
          <w:p w14:paraId="21E57DD5">
            <w:pPr>
              <w:keepNext w:val="0"/>
              <w:keepLines w:val="0"/>
              <w:pageBreakBefore w:val="0"/>
              <w:widowControl/>
              <w:kinsoku/>
              <w:wordWrap w:val="0"/>
              <w:overflowPunct/>
              <w:topLinePunct w:val="0"/>
              <w:autoSpaceDE/>
              <w:autoSpaceDN/>
              <w:bidi w:val="0"/>
              <w:adjustRightInd/>
              <w:snapToGrid/>
              <w:spacing w:beforeLines="0" w:afterLines="0" w:line="400" w:lineRule="exact"/>
              <w:ind w:right="0" w:firstLine="0" w:firstLineChars="0"/>
              <w:jc w:val="left"/>
              <w:textAlignment w:val="top"/>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（二）投标提供的质量（完成时间）保障措施及方案比较详细具体，得10分。</w:t>
            </w:r>
          </w:p>
          <w:p w14:paraId="1DEE715B">
            <w:pPr>
              <w:keepNext w:val="0"/>
              <w:keepLines w:val="0"/>
              <w:pageBreakBefore w:val="0"/>
              <w:widowControl/>
              <w:kinsoku/>
              <w:wordWrap w:val="0"/>
              <w:overflowPunct/>
              <w:topLinePunct w:val="0"/>
              <w:autoSpaceDE/>
              <w:autoSpaceDN/>
              <w:bidi w:val="0"/>
              <w:adjustRightInd/>
              <w:snapToGrid/>
              <w:spacing w:beforeLines="0" w:afterLines="0" w:line="400" w:lineRule="exact"/>
              <w:ind w:right="0" w:firstLine="0" w:firstLineChars="0"/>
              <w:jc w:val="left"/>
              <w:textAlignment w:val="top"/>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（三）投标提供的质量（完成时间全）保障措施及方案一般，得5分。</w:t>
            </w:r>
          </w:p>
          <w:p w14:paraId="6230452D">
            <w:pPr>
              <w:keepNext w:val="0"/>
              <w:keepLines w:val="0"/>
              <w:pageBreakBefore w:val="0"/>
              <w:widowControl/>
              <w:kinsoku/>
              <w:wordWrap w:val="0"/>
              <w:overflowPunct/>
              <w:topLinePunct w:val="0"/>
              <w:autoSpaceDE/>
              <w:autoSpaceDN/>
              <w:bidi w:val="0"/>
              <w:adjustRightInd/>
              <w:snapToGrid/>
              <w:spacing w:beforeLines="0" w:afterLines="0" w:line="400" w:lineRule="exact"/>
              <w:ind w:right="0" w:firstLine="0" w:firstLineChars="0"/>
              <w:jc w:val="left"/>
              <w:textAlignment w:val="top"/>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rPr>
              <w:t>（四）投标提供的质量（完成时间）保障措施及方案差或者不提供不得分。</w:t>
            </w:r>
          </w:p>
        </w:tc>
      </w:tr>
      <w:tr w14:paraId="12475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30" w:type="pct"/>
            <w:vMerge w:val="restart"/>
            <w:noWrap w:val="0"/>
            <w:vAlign w:val="center"/>
          </w:tcPr>
          <w:p w14:paraId="1194DE4A">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综合实力（</w:t>
            </w:r>
            <w:r>
              <w:rPr>
                <w:rFonts w:hint="eastAsia" w:ascii="仿宋_GB2312" w:hAnsi="仿宋_GB2312" w:eastAsia="仿宋_GB2312" w:cs="仿宋_GB2312"/>
                <w:color w:val="auto"/>
                <w:sz w:val="32"/>
                <w:szCs w:val="32"/>
                <w:lang w:val="en-US" w:eastAsia="zh-CN"/>
              </w:rPr>
              <w:t>35</w:t>
            </w:r>
            <w:r>
              <w:rPr>
                <w:rFonts w:hint="eastAsia" w:ascii="仿宋_GB2312" w:hAnsi="仿宋_GB2312" w:eastAsia="仿宋_GB2312" w:cs="仿宋_GB2312"/>
                <w:color w:val="auto"/>
                <w:sz w:val="32"/>
                <w:szCs w:val="32"/>
              </w:rPr>
              <w:t>分）</w:t>
            </w:r>
          </w:p>
        </w:tc>
        <w:tc>
          <w:tcPr>
            <w:tcW w:w="1246" w:type="pct"/>
            <w:noWrap w:val="0"/>
            <w:vAlign w:val="center"/>
          </w:tcPr>
          <w:p w14:paraId="7BB397CD">
            <w:pPr>
              <w:widowControl/>
              <w:wordWrap w:val="0"/>
              <w:spacing w:beforeLines="0" w:afterLines="0" w:line="400" w:lineRule="exact"/>
              <w:jc w:val="left"/>
              <w:textAlignment w:val="top"/>
              <w:rPr>
                <w:rFonts w:hint="eastAsia" w:ascii="仿宋_GB2312" w:hAnsi="仿宋_GB2312" w:eastAsia="仿宋_GB2312" w:cs="仿宋_GB2312"/>
                <w:color w:val="000000" w:themeColor="text1"/>
                <w:sz w:val="32"/>
                <w:szCs w:val="32"/>
                <w14:textFill>
                  <w14:gradFill>
                    <w14:gsLst>
                      <w14:gs w14:pos="50000">
                        <w14:schemeClr w14:val="accent3"/>
                      </w14:gs>
                      <w14:gs w14:pos="0">
                        <w14:schemeClr w14:val="accent3">
                          <w14:lumMod w14:val="25000"/>
                          <w14:lumOff w14:val="75000"/>
                        </w14:schemeClr>
                      </w14:gs>
                      <w14:gs w14:pos="100000">
                        <w14:schemeClr w14:val="accent3">
                          <w14:lumMod w14:val="85000"/>
                        </w14:schemeClr>
                      </w14:gs>
                    </w14:gsLst>
                    <w14:lin w14:ang="5400000" w14:scaled="1"/>
                  </w14:gra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auto"/>
                <w:sz w:val="32"/>
                <w:szCs w:val="32"/>
                <w:highlight w:val="none"/>
              </w:rPr>
              <w:t>拟安排的项目团队</w:t>
            </w:r>
            <w:r>
              <w:rPr>
                <w:rFonts w:hint="eastAsia" w:ascii="仿宋_GB2312" w:hAnsi="仿宋_GB2312" w:eastAsia="仿宋_GB2312" w:cs="仿宋_GB2312"/>
                <w:color w:val="auto"/>
                <w:sz w:val="32"/>
                <w:szCs w:val="32"/>
                <w:highlight w:val="none"/>
                <w:lang w:val="en-US" w:eastAsia="zh-CN"/>
              </w:rPr>
              <w:t>负责人</w:t>
            </w:r>
            <w:r>
              <w:rPr>
                <w:rFonts w:hint="eastAsia" w:ascii="仿宋_GB2312" w:hAnsi="仿宋_GB2312" w:eastAsia="仿宋_GB2312" w:cs="仿宋_GB2312"/>
                <w:color w:val="auto"/>
                <w:sz w:val="32"/>
                <w:szCs w:val="32"/>
                <w:highlight w:val="none"/>
              </w:rPr>
              <w:t>情况</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仅限1名）（10分）</w:t>
            </w:r>
          </w:p>
        </w:tc>
        <w:tc>
          <w:tcPr>
            <w:tcW w:w="2923" w:type="pct"/>
            <w:noWrap w:val="0"/>
            <w:vAlign w:val="center"/>
          </w:tcPr>
          <w:p w14:paraId="3EEB5D1E">
            <w:pPr>
              <w:widowControl/>
              <w:wordWrap w:val="0"/>
              <w:adjustRightInd/>
              <w:snapToGrid/>
              <w:spacing w:beforeLines="0" w:afterLines="0" w:line="400" w:lineRule="exact"/>
              <w:jc w:val="left"/>
              <w:textAlignment w:val="top"/>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kern w:val="2"/>
                <w:sz w:val="32"/>
                <w:szCs w:val="32"/>
                <w:lang w:eastAsia="zh-CN"/>
              </w:rPr>
              <w:t>一、</w:t>
            </w:r>
            <w:r>
              <w:rPr>
                <w:rFonts w:hint="eastAsia" w:ascii="黑体" w:hAnsi="黑体" w:eastAsia="黑体" w:cs="黑体"/>
                <w:b w:val="0"/>
                <w:bCs w:val="0"/>
                <w:color w:val="auto"/>
                <w:kern w:val="2"/>
                <w:sz w:val="32"/>
                <w:szCs w:val="32"/>
              </w:rPr>
              <w:t>考察内容</w:t>
            </w:r>
          </w:p>
          <w:p w14:paraId="49955603">
            <w:pPr>
              <w:keepNext w:val="0"/>
              <w:keepLines w:val="0"/>
              <w:pageBreakBefore w:val="0"/>
              <w:widowControl/>
              <w:kinsoku/>
              <w:wordWrap w:val="0"/>
              <w:overflowPunct/>
              <w:topLinePunct w:val="0"/>
              <w:autoSpaceDE/>
              <w:autoSpaceDN/>
              <w:bidi w:val="0"/>
              <w:adjustRightInd/>
              <w:snapToGrid/>
              <w:spacing w:beforeLines="0" w:afterLines="0" w:line="400" w:lineRule="exact"/>
              <w:ind w:right="0" w:firstLine="0" w:firstLineChars="0"/>
              <w:jc w:val="left"/>
              <w:textAlignment w:val="top"/>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（一）评审内容：</w:t>
            </w:r>
          </w:p>
          <w:p w14:paraId="09E964D5">
            <w:pPr>
              <w:keepNext w:val="0"/>
              <w:keepLines w:val="0"/>
              <w:pageBreakBefore w:val="0"/>
              <w:widowControl/>
              <w:kinsoku/>
              <w:wordWrap w:val="0"/>
              <w:overflowPunct/>
              <w:topLinePunct w:val="0"/>
              <w:autoSpaceDE/>
              <w:autoSpaceDN/>
              <w:bidi w:val="0"/>
              <w:adjustRightInd/>
              <w:snapToGrid/>
              <w:spacing w:beforeLines="0" w:afterLines="0" w:line="400" w:lineRule="exact"/>
              <w:ind w:right="0" w:firstLine="0" w:firstLineChars="0"/>
              <w:jc w:val="left"/>
              <w:textAlignment w:val="top"/>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项目负责人须为投标人自有员工（以社保为准），否则该人员本项不得分。在此基础上：</w:t>
            </w:r>
          </w:p>
          <w:p w14:paraId="704E11EC">
            <w:pPr>
              <w:keepNext w:val="0"/>
              <w:keepLines w:val="0"/>
              <w:pageBreakBefore w:val="0"/>
              <w:widowControl/>
              <w:kinsoku/>
              <w:wordWrap w:val="0"/>
              <w:overflowPunct/>
              <w:topLinePunct w:val="0"/>
              <w:autoSpaceDE/>
              <w:autoSpaceDN/>
              <w:bidi w:val="0"/>
              <w:adjustRightInd/>
              <w:snapToGrid/>
              <w:spacing w:beforeLines="0" w:afterLines="0" w:line="400" w:lineRule="exact"/>
              <w:ind w:right="0" w:firstLine="0" w:firstLineChars="0"/>
              <w:jc w:val="left"/>
              <w:textAlignment w:val="top"/>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1.团队成员具有政府部门或事业单位的养老护理员、育婴员或母婴护理员等3种课程培训的工作经验，每提供一项业绩得2分，本项最高得10分。</w:t>
            </w:r>
          </w:p>
          <w:p w14:paraId="6C5ABAEF">
            <w:pPr>
              <w:keepNext w:val="0"/>
              <w:keepLines w:val="0"/>
              <w:pageBreakBefore w:val="0"/>
              <w:widowControl/>
              <w:kinsoku/>
              <w:wordWrap w:val="0"/>
              <w:overflowPunct/>
              <w:topLinePunct w:val="0"/>
              <w:autoSpaceDE/>
              <w:autoSpaceDN/>
              <w:bidi w:val="0"/>
              <w:adjustRightInd/>
              <w:snapToGrid/>
              <w:spacing w:beforeLines="0" w:afterLines="0" w:line="400" w:lineRule="exact"/>
              <w:ind w:right="0" w:firstLine="0" w:firstLineChars="0"/>
              <w:jc w:val="left"/>
              <w:textAlignment w:val="top"/>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2.具有中级社工证书。</w:t>
            </w:r>
          </w:p>
          <w:p w14:paraId="0CC29633">
            <w:pPr>
              <w:keepNext w:val="0"/>
              <w:keepLines w:val="0"/>
              <w:pageBreakBefore w:val="0"/>
              <w:widowControl/>
              <w:kinsoku/>
              <w:wordWrap w:val="0"/>
              <w:overflowPunct/>
              <w:topLinePunct w:val="0"/>
              <w:autoSpaceDE/>
              <w:autoSpaceDN/>
              <w:bidi w:val="0"/>
              <w:adjustRightInd/>
              <w:snapToGrid/>
              <w:spacing w:beforeLines="0" w:afterLines="0" w:line="400" w:lineRule="exact"/>
              <w:ind w:right="0" w:firstLine="0" w:firstLineChars="0"/>
              <w:jc w:val="left"/>
              <w:textAlignment w:val="top"/>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以上2项，每满足一项得5分，最高累计得10分。</w:t>
            </w:r>
          </w:p>
          <w:p w14:paraId="01C9BBB6">
            <w:pPr>
              <w:keepNext w:val="0"/>
              <w:keepLines w:val="0"/>
              <w:pageBreakBefore w:val="0"/>
              <w:widowControl/>
              <w:kinsoku/>
              <w:wordWrap w:val="0"/>
              <w:overflowPunct/>
              <w:topLinePunct w:val="0"/>
              <w:autoSpaceDE/>
              <w:autoSpaceDN/>
              <w:bidi w:val="0"/>
              <w:adjustRightInd/>
              <w:snapToGrid/>
              <w:spacing w:beforeLines="0" w:afterLines="0" w:line="400" w:lineRule="exact"/>
              <w:ind w:right="0" w:firstLine="0" w:firstLineChars="0"/>
              <w:jc w:val="left"/>
              <w:textAlignment w:val="top"/>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（二）评审标准：</w:t>
            </w:r>
          </w:p>
          <w:p w14:paraId="422910C8">
            <w:pPr>
              <w:widowControl/>
              <w:numPr>
                <w:ilvl w:val="0"/>
                <w:numId w:val="0"/>
              </w:numPr>
              <w:wordWrap w:val="0"/>
              <w:adjustRightInd w:val="0"/>
              <w:snapToGrid w:val="0"/>
              <w:spacing w:beforeLines="0" w:afterLines="0" w:line="100" w:lineRule="atLeast"/>
              <w:jc w:val="left"/>
              <w:textAlignment w:val="top"/>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要求提供通过投标人缴纳的近三个月（2025年1月-2025年3月）的任意一个月的社保证明作为本单位员工的证明依据（已退休返聘人员需提供聘用合同），如开标日上一个月的社保材料因社保部门原因暂时无法取得，则可以往前顺延一个月。若投标人为新成立企业，成立时间不足三个月，则需提供自有员工承诺函（格式自拟）。</w:t>
            </w:r>
          </w:p>
          <w:p w14:paraId="0BC36F22">
            <w:pPr>
              <w:widowControl/>
              <w:numPr>
                <w:ilvl w:val="0"/>
                <w:numId w:val="0"/>
              </w:numPr>
              <w:wordWrap w:val="0"/>
              <w:adjustRightInd w:val="0"/>
              <w:snapToGrid w:val="0"/>
              <w:spacing w:beforeLines="0" w:afterLines="0" w:line="100" w:lineRule="atLeast"/>
              <w:jc w:val="left"/>
              <w:textAlignment w:val="top"/>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2.业绩材料：同时提供项目合同关键信息或评价报告作为得分依据，通过合同关键信息无法判断是否得分的，也可以提供其它证明资料，如合同甲方出具的证明文件等，需加盖合同甲方公章（或甲方业务章）。</w:t>
            </w:r>
          </w:p>
          <w:p w14:paraId="4608C997">
            <w:pPr>
              <w:keepNext w:val="0"/>
              <w:keepLines w:val="0"/>
              <w:pageBreakBefore w:val="0"/>
              <w:widowControl/>
              <w:kinsoku/>
              <w:wordWrap w:val="0"/>
              <w:overflowPunct/>
              <w:topLinePunct w:val="0"/>
              <w:autoSpaceDE/>
              <w:autoSpaceDN/>
              <w:bidi w:val="0"/>
              <w:adjustRightInd/>
              <w:snapToGrid/>
              <w:spacing w:beforeLines="0" w:afterLines="0" w:line="400" w:lineRule="exact"/>
              <w:ind w:right="0" w:firstLine="0" w:firstLineChars="0"/>
              <w:jc w:val="left"/>
              <w:textAlignment w:val="top"/>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kern w:val="2"/>
                <w:sz w:val="32"/>
                <w:szCs w:val="32"/>
                <w:highlight w:val="none"/>
                <w:lang w:val="en-US" w:eastAsia="zh-CN"/>
              </w:rPr>
              <w:t>提供项目服务团队负责人相关证书扫描件以及证书官网等合法查询渠道的查询记录作为得分依据，并注明原件备查。评分中出现无证明资料或专家无法凭所提供资料判断是否得分的情况，一律作不得分处理。</w:t>
            </w:r>
          </w:p>
        </w:tc>
      </w:tr>
      <w:tr w14:paraId="06DB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30" w:type="pct"/>
            <w:vMerge w:val="continue"/>
            <w:noWrap w:val="0"/>
            <w:vAlign w:val="center"/>
          </w:tcPr>
          <w:p w14:paraId="22967029">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rPr>
            </w:pPr>
          </w:p>
        </w:tc>
        <w:tc>
          <w:tcPr>
            <w:tcW w:w="1246" w:type="pct"/>
            <w:shd w:val="clear" w:color="auto" w:fill="auto"/>
            <w:noWrap w:val="0"/>
            <w:vAlign w:val="center"/>
          </w:tcPr>
          <w:p w14:paraId="42DEA1E9">
            <w:pPr>
              <w:widowControl/>
              <w:wordWrap w:val="0"/>
              <w:spacing w:beforeLines="0" w:afterLines="0" w:line="400" w:lineRule="exact"/>
              <w:jc w:val="left"/>
              <w:textAlignment w:val="top"/>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拟安排的项目团队成员情况（项目负责人除外）</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10分</w:t>
            </w:r>
            <w:r>
              <w:rPr>
                <w:rFonts w:hint="eastAsia" w:ascii="仿宋_GB2312" w:hAnsi="仿宋_GB2312" w:eastAsia="仿宋_GB2312" w:cs="仿宋_GB2312"/>
                <w:color w:val="auto"/>
                <w:sz w:val="32"/>
                <w:szCs w:val="32"/>
                <w:highlight w:val="none"/>
                <w:lang w:eastAsia="zh-CN"/>
              </w:rPr>
              <w:t>）</w:t>
            </w:r>
          </w:p>
        </w:tc>
        <w:tc>
          <w:tcPr>
            <w:tcW w:w="2923" w:type="pct"/>
            <w:shd w:val="clear" w:color="auto" w:fill="auto"/>
            <w:noWrap w:val="0"/>
            <w:vAlign w:val="center"/>
          </w:tcPr>
          <w:p w14:paraId="38871E58">
            <w:pPr>
              <w:widowControl/>
              <w:wordWrap w:val="0"/>
              <w:adjustRightInd/>
              <w:snapToGrid/>
              <w:spacing w:beforeLines="0" w:afterLines="0" w:line="400" w:lineRule="exact"/>
              <w:jc w:val="left"/>
              <w:textAlignment w:val="top"/>
              <w:rPr>
                <w:rFonts w:hint="eastAsia" w:ascii="仿宋_GB2312" w:hAnsi="仿宋_GB2312" w:eastAsia="仿宋_GB2312" w:cs="仿宋_GB2312"/>
                <w:b w:val="0"/>
                <w:bCs w:val="0"/>
                <w:color w:val="auto"/>
                <w:sz w:val="32"/>
                <w:szCs w:val="32"/>
                <w:highlight w:val="none"/>
              </w:rPr>
            </w:pPr>
            <w:r>
              <w:rPr>
                <w:rFonts w:hint="eastAsia" w:ascii="黑体" w:hAnsi="黑体" w:eastAsia="黑体" w:cs="黑体"/>
                <w:b w:val="0"/>
                <w:bCs w:val="0"/>
                <w:color w:val="auto"/>
                <w:kern w:val="2"/>
                <w:sz w:val="32"/>
                <w:szCs w:val="32"/>
                <w:highlight w:val="none"/>
                <w:lang w:eastAsia="zh-CN"/>
              </w:rPr>
              <w:t>一、</w:t>
            </w:r>
            <w:r>
              <w:rPr>
                <w:rFonts w:hint="eastAsia" w:ascii="黑体" w:hAnsi="黑体" w:eastAsia="黑体" w:cs="黑体"/>
                <w:b w:val="0"/>
                <w:bCs w:val="0"/>
                <w:color w:val="auto"/>
                <w:kern w:val="2"/>
                <w:sz w:val="32"/>
                <w:szCs w:val="32"/>
                <w:highlight w:val="none"/>
              </w:rPr>
              <w:t>考察内容</w:t>
            </w:r>
          </w:p>
          <w:p w14:paraId="093C881B">
            <w:pPr>
              <w:widowControl/>
              <w:wordWrap w:val="0"/>
              <w:adjustRightInd w:val="0"/>
              <w:snapToGrid w:val="0"/>
              <w:spacing w:beforeLines="0" w:afterLines="0" w:line="100" w:lineRule="atLeast"/>
              <w:jc w:val="left"/>
              <w:textAlignment w:val="top"/>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（一）评审内容：</w:t>
            </w:r>
          </w:p>
          <w:p w14:paraId="6DCACB84">
            <w:pPr>
              <w:widowControl/>
              <w:numPr>
                <w:ilvl w:val="0"/>
                <w:numId w:val="0"/>
              </w:numPr>
              <w:wordWrap w:val="0"/>
              <w:adjustRightInd w:val="0"/>
              <w:snapToGrid w:val="0"/>
              <w:spacing w:beforeLines="0" w:afterLines="0" w:line="100" w:lineRule="atLeast"/>
              <w:jc w:val="left"/>
              <w:textAlignment w:val="top"/>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项目团队须为投标人自有员工（以社保为准）或投标人合作过的团队（以合同或合约，雇佣记录等为准），否则该人员本项不得分。在此基础上：</w:t>
            </w:r>
          </w:p>
          <w:p w14:paraId="3F59DDD6">
            <w:pPr>
              <w:widowControl/>
              <w:numPr>
                <w:ilvl w:val="0"/>
                <w:numId w:val="0"/>
              </w:numPr>
              <w:wordWrap w:val="0"/>
              <w:adjustRightInd w:val="0"/>
              <w:snapToGrid w:val="0"/>
              <w:spacing w:beforeLines="0" w:afterLines="0" w:line="100" w:lineRule="atLeast"/>
              <w:jc w:val="left"/>
              <w:textAlignment w:val="top"/>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000000"/>
                <w:spacing w:val="15"/>
                <w:kern w:val="44"/>
                <w:sz w:val="32"/>
                <w:szCs w:val="32"/>
                <w:highlight w:val="none"/>
                <w:lang w:val="en-US" w:eastAsia="zh-CN" w:bidi="ar"/>
              </w:rPr>
              <w:t>养老员、育婴员、</w:t>
            </w:r>
            <w:r>
              <w:rPr>
                <w:rFonts w:hint="eastAsia" w:ascii="仿宋_GB2312" w:hAnsi="仿宋_GB2312" w:eastAsia="仿宋_GB2312" w:cs="仿宋_GB2312"/>
                <w:color w:val="000000"/>
                <w:spacing w:val="15"/>
                <w:kern w:val="44"/>
                <w:sz w:val="32"/>
                <w:szCs w:val="32"/>
                <w:lang w:val="en-US" w:eastAsia="zh-CN" w:bidi="ar"/>
              </w:rPr>
              <w:t>母婴护理员、社工证书</w:t>
            </w:r>
            <w:r>
              <w:rPr>
                <w:rFonts w:hint="eastAsia" w:ascii="仿宋_GB2312" w:hAnsi="仿宋_GB2312" w:eastAsia="仿宋_GB2312" w:cs="仿宋_GB2312"/>
                <w:color w:val="auto"/>
                <w:sz w:val="32"/>
                <w:szCs w:val="32"/>
                <w:lang w:val="en-US" w:eastAsia="zh-CN"/>
              </w:rPr>
              <w:t>等相关的资质或等级证书。</w:t>
            </w:r>
          </w:p>
          <w:p w14:paraId="3241539E">
            <w:pPr>
              <w:widowControl/>
              <w:numPr>
                <w:ilvl w:val="0"/>
                <w:numId w:val="0"/>
              </w:numPr>
              <w:wordWrap w:val="0"/>
              <w:adjustRightInd w:val="0"/>
              <w:snapToGrid w:val="0"/>
              <w:spacing w:beforeLines="0" w:afterLines="0" w:line="100" w:lineRule="atLeast"/>
              <w:jc w:val="left"/>
              <w:textAlignment w:val="top"/>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以上1项，每个符合条件的团队成员得2分，最高累计得10分，</w:t>
            </w:r>
            <w:r>
              <w:rPr>
                <w:rFonts w:hint="eastAsia" w:ascii="仿宋_GB2312" w:hAnsi="仿宋_GB2312" w:eastAsia="仿宋_GB2312" w:cs="仿宋_GB2312"/>
                <w:color w:val="auto"/>
                <w:sz w:val="32"/>
                <w:szCs w:val="32"/>
                <w:highlight w:val="none"/>
                <w:lang w:val="en-US" w:eastAsia="zh-CN"/>
              </w:rPr>
              <w:t>同一人符合多个条件同类证书不可重复得分，同类证书不可重复得分。</w:t>
            </w:r>
          </w:p>
          <w:p w14:paraId="71E9B0F2">
            <w:pPr>
              <w:widowControl/>
              <w:numPr>
                <w:ilvl w:val="0"/>
                <w:numId w:val="0"/>
              </w:numPr>
              <w:wordWrap w:val="0"/>
              <w:adjustRightInd w:val="0"/>
              <w:snapToGrid w:val="0"/>
              <w:spacing w:beforeLines="0" w:afterLines="0" w:line="100" w:lineRule="atLeast"/>
              <w:jc w:val="left"/>
              <w:textAlignment w:val="top"/>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（二）评审标准：</w:t>
            </w:r>
          </w:p>
          <w:p w14:paraId="71F55B6B">
            <w:pPr>
              <w:keepNext w:val="0"/>
              <w:keepLines w:val="0"/>
              <w:pageBreakBefore w:val="0"/>
              <w:widowControl/>
              <w:kinsoku/>
              <w:wordWrap w:val="0"/>
              <w:overflowPunct/>
              <w:topLinePunct w:val="0"/>
              <w:autoSpaceDE/>
              <w:autoSpaceDN/>
              <w:bidi w:val="0"/>
              <w:adjustRightInd/>
              <w:snapToGrid/>
              <w:spacing w:beforeLines="0" w:afterLines="0" w:line="400" w:lineRule="exact"/>
              <w:ind w:right="0" w:firstLine="0" w:firstLineChars="0"/>
              <w:jc w:val="left"/>
              <w:textAlignment w:val="top"/>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要求提供通过投标人缴纳的近三个月（2025年1月-2025年3月）的任意一个月的社保证明作为本单位员工的证明依据（已退休返聘人员需提供聘用合同），如开标日上一个月的社保材料因社保部门原因暂时无法取得，则可以往前顺延一个月。若</w:t>
            </w:r>
            <w:r>
              <w:rPr>
                <w:rFonts w:hint="eastAsia" w:ascii="仿宋_GB2312" w:hAnsi="仿宋_GB2312" w:eastAsia="仿宋_GB2312" w:cs="仿宋_GB2312"/>
                <w:color w:val="auto"/>
                <w:kern w:val="2"/>
                <w:sz w:val="32"/>
                <w:szCs w:val="32"/>
                <w:highlight w:val="none"/>
                <w:lang w:val="en-US" w:eastAsia="zh-CN"/>
              </w:rPr>
              <w:t>投标人为新成立企业，成立时间不足三个月，则需提供自有员工承诺函（格式自拟）。</w:t>
            </w:r>
          </w:p>
          <w:p w14:paraId="65AB263A">
            <w:pPr>
              <w:keepNext w:val="0"/>
              <w:keepLines w:val="0"/>
              <w:pageBreakBefore w:val="0"/>
              <w:widowControl/>
              <w:kinsoku/>
              <w:wordWrap w:val="0"/>
              <w:overflowPunct/>
              <w:topLinePunct w:val="0"/>
              <w:autoSpaceDE/>
              <w:autoSpaceDN/>
              <w:bidi w:val="0"/>
              <w:adjustRightInd/>
              <w:snapToGrid/>
              <w:spacing w:beforeLines="0" w:afterLines="0" w:line="400" w:lineRule="exact"/>
              <w:ind w:right="0" w:firstLine="0" w:firstLineChars="0"/>
              <w:jc w:val="left"/>
              <w:textAlignment w:val="top"/>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2.非投标单位员工，提供劳务合同或雇佣记录等材料并加盖公章。</w:t>
            </w:r>
          </w:p>
          <w:p w14:paraId="358B8561">
            <w:pPr>
              <w:keepNext w:val="0"/>
              <w:keepLines w:val="0"/>
              <w:pageBreakBefore w:val="0"/>
              <w:widowControl/>
              <w:kinsoku/>
              <w:wordWrap w:val="0"/>
              <w:overflowPunct/>
              <w:topLinePunct w:val="0"/>
              <w:autoSpaceDE/>
              <w:autoSpaceDN/>
              <w:bidi w:val="0"/>
              <w:adjustRightInd/>
              <w:snapToGrid/>
              <w:spacing w:beforeLines="0" w:afterLines="0" w:line="400" w:lineRule="exact"/>
              <w:ind w:right="0" w:firstLine="0" w:firstLineChars="0"/>
              <w:jc w:val="left"/>
              <w:textAlignment w:val="top"/>
              <w:rPr>
                <w:rFonts w:hint="default"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3.提供项目服务团队相关证书扫描件以及证书官网等合法查询渠道的查询记录作为得分依据，并注明原件备查。评分中出现无证明资料或专家无法凭所提供资料判断是否得分的情况，一律作不得分处理。</w:t>
            </w:r>
          </w:p>
          <w:p w14:paraId="5CB746C1">
            <w:pPr>
              <w:widowControl/>
              <w:numPr>
                <w:ilvl w:val="0"/>
                <w:numId w:val="0"/>
              </w:numPr>
              <w:wordWrap w:val="0"/>
              <w:adjustRightInd w:val="0"/>
              <w:snapToGrid w:val="0"/>
              <w:spacing w:beforeLines="0" w:afterLines="0" w:line="100" w:lineRule="atLeast"/>
              <w:ind w:left="0" w:leftChars="0" w:firstLine="0" w:firstLineChars="0"/>
              <w:jc w:val="left"/>
              <w:textAlignment w:val="top"/>
              <w:rPr>
                <w:rFonts w:hint="eastAsia" w:ascii="Calibri" w:hAnsi="Calibri" w:eastAsia="宋体" w:cs="Times New Roman"/>
                <w:kern w:val="2"/>
                <w:sz w:val="21"/>
                <w:szCs w:val="24"/>
                <w:lang w:val="en-US" w:eastAsia="zh-CN" w:bidi="ar-SA"/>
              </w:rPr>
            </w:pPr>
          </w:p>
        </w:tc>
      </w:tr>
      <w:tr w14:paraId="5CEC6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3" w:hRule="atLeast"/>
        </w:trPr>
        <w:tc>
          <w:tcPr>
            <w:tcW w:w="830" w:type="pct"/>
            <w:vMerge w:val="continue"/>
            <w:noWrap w:val="0"/>
            <w:vAlign w:val="center"/>
          </w:tcPr>
          <w:p w14:paraId="27CCE90C">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rPr>
            </w:pPr>
          </w:p>
        </w:tc>
        <w:tc>
          <w:tcPr>
            <w:tcW w:w="1246" w:type="pct"/>
            <w:noWrap w:val="0"/>
            <w:vAlign w:val="center"/>
          </w:tcPr>
          <w:p w14:paraId="69E3BB32">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.同类业绩</w:t>
            </w:r>
          </w:p>
          <w:p w14:paraId="4642F6C2">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分）</w:t>
            </w:r>
          </w:p>
        </w:tc>
        <w:tc>
          <w:tcPr>
            <w:tcW w:w="2923" w:type="pct"/>
            <w:noWrap w:val="0"/>
            <w:vAlign w:val="center"/>
          </w:tcPr>
          <w:p w14:paraId="331BC9E7">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b w:val="0"/>
                <w:bCs w:val="0"/>
                <w:color w:val="auto"/>
                <w:kern w:val="2"/>
                <w:sz w:val="32"/>
                <w:szCs w:val="32"/>
                <w:highlight w:val="none"/>
              </w:rPr>
            </w:pPr>
            <w:r>
              <w:rPr>
                <w:rFonts w:hint="eastAsia" w:ascii="黑体" w:hAnsi="黑体" w:eastAsia="黑体" w:cs="黑体"/>
                <w:b w:val="0"/>
                <w:bCs w:val="0"/>
                <w:color w:val="auto"/>
                <w:kern w:val="2"/>
                <w:sz w:val="32"/>
                <w:szCs w:val="32"/>
                <w:lang w:eastAsia="zh-CN"/>
              </w:rPr>
              <w:t>一、</w:t>
            </w:r>
            <w:r>
              <w:rPr>
                <w:rFonts w:hint="eastAsia" w:ascii="黑体" w:hAnsi="黑体" w:eastAsia="黑体" w:cs="黑体"/>
                <w:b w:val="0"/>
                <w:bCs w:val="0"/>
                <w:color w:val="auto"/>
                <w:kern w:val="2"/>
                <w:sz w:val="32"/>
                <w:szCs w:val="32"/>
              </w:rPr>
              <w:t>考察内容</w:t>
            </w:r>
          </w:p>
          <w:p w14:paraId="56C03678">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投标人提供同类业绩，每提供一个业绩得</w:t>
            </w:r>
            <w:r>
              <w:rPr>
                <w:rFonts w:hint="eastAsia" w:ascii="仿宋_GB2312" w:hAnsi="仿宋_GB2312" w:eastAsia="仿宋_GB2312" w:cs="仿宋_GB2312"/>
                <w:color w:val="auto"/>
                <w:kern w:val="2"/>
                <w:sz w:val="32"/>
                <w:szCs w:val="32"/>
                <w:highlight w:val="none"/>
                <w:lang w:val="en-US" w:eastAsia="zh-CN"/>
              </w:rPr>
              <w:t>3</w:t>
            </w:r>
            <w:r>
              <w:rPr>
                <w:rFonts w:hint="eastAsia" w:ascii="仿宋_GB2312" w:hAnsi="仿宋_GB2312" w:eastAsia="仿宋_GB2312" w:cs="仿宋_GB2312"/>
                <w:color w:val="auto"/>
                <w:kern w:val="2"/>
                <w:sz w:val="32"/>
                <w:szCs w:val="32"/>
                <w:highlight w:val="none"/>
              </w:rPr>
              <w:t>分（同一服务使用单位不累计得分），最高</w:t>
            </w:r>
            <w:r>
              <w:rPr>
                <w:rFonts w:hint="eastAsia" w:ascii="仿宋_GB2312" w:hAnsi="仿宋_GB2312" w:eastAsia="仿宋_GB2312" w:cs="仿宋_GB2312"/>
                <w:color w:val="auto"/>
                <w:kern w:val="2"/>
                <w:sz w:val="32"/>
                <w:szCs w:val="32"/>
                <w:highlight w:val="none"/>
                <w:lang w:val="en-US" w:eastAsia="zh-CN"/>
              </w:rPr>
              <w:t>15</w:t>
            </w:r>
            <w:r>
              <w:rPr>
                <w:rFonts w:hint="eastAsia" w:ascii="仿宋_GB2312" w:hAnsi="仿宋_GB2312" w:eastAsia="仿宋_GB2312" w:cs="仿宋_GB2312"/>
                <w:color w:val="auto"/>
                <w:kern w:val="2"/>
                <w:sz w:val="32"/>
                <w:szCs w:val="32"/>
                <w:highlight w:val="none"/>
              </w:rPr>
              <w:t>分。不提供或者不能有效证明的，得0分。</w:t>
            </w:r>
          </w:p>
          <w:p w14:paraId="73EA8D56">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有效业绩定义：（同时满足以下全部要求同类业绩才属于有效业绩）</w:t>
            </w:r>
          </w:p>
          <w:p w14:paraId="620A7C8F">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lang w:eastAsia="zh-CN"/>
              </w:rPr>
              <w:t>（一）</w:t>
            </w:r>
            <w:r>
              <w:rPr>
                <w:rFonts w:hint="eastAsia" w:ascii="仿宋_GB2312" w:hAnsi="仿宋_GB2312" w:eastAsia="仿宋_GB2312" w:cs="仿宋_GB2312"/>
                <w:color w:val="auto"/>
                <w:kern w:val="2"/>
                <w:sz w:val="32"/>
                <w:szCs w:val="32"/>
                <w:highlight w:val="none"/>
              </w:rPr>
              <w:t>业绩内容为：</w:t>
            </w:r>
            <w:r>
              <w:rPr>
                <w:rFonts w:hint="eastAsia" w:ascii="仿宋_GB2312" w:hAnsi="仿宋_GB2312" w:eastAsia="仿宋_GB2312" w:cs="仿宋_GB2312"/>
                <w:color w:val="auto"/>
                <w:kern w:val="2"/>
                <w:sz w:val="32"/>
                <w:szCs w:val="32"/>
                <w:highlight w:val="none"/>
                <w:lang w:eastAsia="zh-CN"/>
              </w:rPr>
              <w:t>提供</w:t>
            </w:r>
            <w:r>
              <w:rPr>
                <w:rFonts w:hint="eastAsia" w:ascii="仿宋_GB2312" w:hAnsi="仿宋_GB2312" w:eastAsia="仿宋_GB2312" w:cs="仿宋_GB2312"/>
                <w:color w:val="000000"/>
                <w:spacing w:val="15"/>
                <w:kern w:val="44"/>
                <w:sz w:val="32"/>
                <w:szCs w:val="32"/>
                <w:lang w:val="en-US" w:eastAsia="zh-CN" w:bidi="ar"/>
              </w:rPr>
              <w:t>养老护理员、育婴员和母婴护理员等相关技能</w:t>
            </w:r>
            <w:r>
              <w:rPr>
                <w:rFonts w:hint="eastAsia" w:ascii="仿宋_GB2312" w:hAnsi="仿宋_GB2312" w:eastAsia="仿宋_GB2312" w:cs="仿宋_GB2312"/>
                <w:color w:val="auto"/>
                <w:kern w:val="2"/>
                <w:sz w:val="32"/>
                <w:szCs w:val="32"/>
                <w:highlight w:val="none"/>
                <w:lang w:eastAsia="zh-CN"/>
              </w:rPr>
              <w:t>培训</w:t>
            </w:r>
            <w:r>
              <w:rPr>
                <w:rFonts w:hint="eastAsia" w:ascii="仿宋_GB2312" w:hAnsi="仿宋_GB2312" w:eastAsia="仿宋_GB2312" w:cs="仿宋_GB2312"/>
                <w:color w:val="auto"/>
                <w:kern w:val="2"/>
                <w:sz w:val="32"/>
                <w:szCs w:val="32"/>
                <w:highlight w:val="none"/>
                <w:lang w:val="en-US" w:eastAsia="zh-CN"/>
              </w:rPr>
              <w:t>。</w:t>
            </w:r>
          </w:p>
          <w:p w14:paraId="5F0F0F38">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lang w:eastAsia="zh-CN"/>
              </w:rPr>
              <w:t>（二）期限</w:t>
            </w:r>
            <w:r>
              <w:rPr>
                <w:rFonts w:hint="eastAsia" w:ascii="仿宋_GB2312" w:hAnsi="仿宋_GB2312" w:eastAsia="仿宋_GB2312" w:cs="仿宋_GB2312"/>
                <w:color w:val="auto"/>
                <w:kern w:val="2"/>
                <w:sz w:val="32"/>
                <w:szCs w:val="32"/>
                <w:highlight w:val="none"/>
              </w:rPr>
              <w:t>为</w:t>
            </w:r>
            <w:r>
              <w:rPr>
                <w:rFonts w:hint="eastAsia" w:ascii="仿宋_GB2312" w:hAnsi="仿宋_GB2312" w:eastAsia="仿宋_GB2312" w:cs="仿宋_GB2312"/>
                <w:color w:val="auto"/>
                <w:kern w:val="2"/>
                <w:sz w:val="32"/>
                <w:szCs w:val="32"/>
                <w:highlight w:val="none"/>
                <w:lang w:val="en-US" w:eastAsia="zh-CN"/>
              </w:rPr>
              <w:t>2022</w:t>
            </w:r>
            <w:r>
              <w:rPr>
                <w:rFonts w:hint="eastAsia" w:ascii="仿宋_GB2312" w:hAnsi="仿宋_GB2312" w:eastAsia="仿宋_GB2312" w:cs="仿宋_GB2312"/>
                <w:color w:val="auto"/>
                <w:kern w:val="2"/>
                <w:sz w:val="32"/>
                <w:szCs w:val="32"/>
                <w:highlight w:val="none"/>
              </w:rPr>
              <w:t>年</w:t>
            </w:r>
            <w:r>
              <w:rPr>
                <w:rFonts w:hint="eastAsia" w:ascii="仿宋_GB2312" w:hAnsi="仿宋_GB2312" w:eastAsia="仿宋_GB2312" w:cs="仿宋_GB2312"/>
                <w:color w:val="auto"/>
                <w:kern w:val="2"/>
                <w:sz w:val="32"/>
                <w:szCs w:val="32"/>
                <w:highlight w:val="none"/>
                <w:lang w:val="en-US" w:eastAsia="zh-CN"/>
              </w:rPr>
              <w:t>1</w:t>
            </w:r>
            <w:r>
              <w:rPr>
                <w:rFonts w:hint="eastAsia" w:ascii="仿宋_GB2312" w:hAnsi="仿宋_GB2312" w:eastAsia="仿宋_GB2312" w:cs="仿宋_GB2312"/>
                <w:color w:val="auto"/>
                <w:kern w:val="2"/>
                <w:sz w:val="32"/>
                <w:szCs w:val="32"/>
                <w:highlight w:val="none"/>
              </w:rPr>
              <w:t>月</w:t>
            </w:r>
            <w:r>
              <w:rPr>
                <w:rFonts w:hint="eastAsia" w:ascii="仿宋_GB2312" w:hAnsi="仿宋_GB2312" w:eastAsia="仿宋_GB2312" w:cs="仿宋_GB2312"/>
                <w:color w:val="auto"/>
                <w:kern w:val="2"/>
                <w:sz w:val="32"/>
                <w:szCs w:val="32"/>
                <w:highlight w:val="none"/>
                <w:lang w:val="en-US" w:eastAsia="zh-CN"/>
              </w:rPr>
              <w:t>1</w:t>
            </w:r>
            <w:r>
              <w:rPr>
                <w:rFonts w:hint="eastAsia" w:ascii="仿宋_GB2312" w:hAnsi="仿宋_GB2312" w:eastAsia="仿宋_GB2312" w:cs="仿宋_GB2312"/>
                <w:color w:val="auto"/>
                <w:kern w:val="2"/>
                <w:sz w:val="32"/>
                <w:szCs w:val="32"/>
                <w:highlight w:val="none"/>
              </w:rPr>
              <w:t>日至投标截之日</w:t>
            </w:r>
            <w:r>
              <w:rPr>
                <w:rFonts w:hint="eastAsia" w:ascii="仿宋_GB2312" w:hAnsi="仿宋_GB2312" w:eastAsia="仿宋_GB2312" w:cs="仿宋_GB2312"/>
                <w:color w:val="auto"/>
                <w:kern w:val="2"/>
                <w:sz w:val="32"/>
                <w:szCs w:val="32"/>
                <w:highlight w:val="none"/>
                <w:lang w:eastAsia="zh-CN"/>
              </w:rPr>
              <w:t>已完成的服务合同</w:t>
            </w:r>
            <w:r>
              <w:rPr>
                <w:rFonts w:hint="eastAsia" w:ascii="仿宋_GB2312" w:hAnsi="仿宋_GB2312" w:eastAsia="仿宋_GB2312" w:cs="仿宋_GB2312"/>
                <w:color w:val="auto"/>
                <w:kern w:val="2"/>
                <w:sz w:val="32"/>
                <w:szCs w:val="32"/>
                <w:highlight w:val="none"/>
              </w:rPr>
              <w:t>（以合同</w:t>
            </w:r>
            <w:r>
              <w:rPr>
                <w:rFonts w:hint="eastAsia" w:ascii="仿宋_GB2312" w:hAnsi="仿宋_GB2312" w:eastAsia="仿宋_GB2312" w:cs="仿宋_GB2312"/>
                <w:color w:val="auto"/>
                <w:kern w:val="2"/>
                <w:sz w:val="32"/>
                <w:szCs w:val="32"/>
                <w:highlight w:val="none"/>
                <w:lang w:eastAsia="zh-CN"/>
              </w:rPr>
              <w:t>服务期限</w:t>
            </w:r>
            <w:r>
              <w:rPr>
                <w:rFonts w:hint="eastAsia" w:ascii="仿宋_GB2312" w:hAnsi="仿宋_GB2312" w:eastAsia="仿宋_GB2312" w:cs="仿宋_GB2312"/>
                <w:color w:val="auto"/>
                <w:kern w:val="2"/>
                <w:sz w:val="32"/>
                <w:szCs w:val="32"/>
                <w:highlight w:val="none"/>
              </w:rPr>
              <w:t>为准）。</w:t>
            </w:r>
          </w:p>
          <w:p w14:paraId="524572FA">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b w:val="0"/>
                <w:bCs w:val="0"/>
                <w:color w:val="auto"/>
                <w:kern w:val="2"/>
                <w:sz w:val="32"/>
                <w:szCs w:val="32"/>
                <w:highlight w:val="none"/>
              </w:rPr>
            </w:pPr>
            <w:r>
              <w:rPr>
                <w:rFonts w:hint="eastAsia" w:ascii="黑体" w:hAnsi="黑体" w:eastAsia="黑体" w:cs="黑体"/>
                <w:b w:val="0"/>
                <w:bCs w:val="0"/>
                <w:color w:val="auto"/>
                <w:kern w:val="2"/>
                <w:sz w:val="32"/>
                <w:szCs w:val="32"/>
                <w:highlight w:val="none"/>
                <w:lang w:eastAsia="zh-CN"/>
              </w:rPr>
              <w:t>二、</w:t>
            </w:r>
            <w:r>
              <w:rPr>
                <w:rFonts w:hint="eastAsia" w:ascii="黑体" w:hAnsi="黑体" w:eastAsia="黑体" w:cs="黑体"/>
                <w:b w:val="0"/>
                <w:bCs w:val="0"/>
                <w:color w:val="auto"/>
                <w:kern w:val="2"/>
                <w:sz w:val="32"/>
                <w:szCs w:val="32"/>
                <w:highlight w:val="none"/>
              </w:rPr>
              <w:t>证明文件</w:t>
            </w:r>
          </w:p>
          <w:p w14:paraId="57F488BA">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供应商提供项目合同关键页（首页、体现采购内容页、签字盖章页、签订时间页）扫描件。</w:t>
            </w:r>
          </w:p>
        </w:tc>
      </w:tr>
      <w:tr w14:paraId="26563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076" w:type="pct"/>
            <w:gridSpan w:val="2"/>
            <w:noWrap w:val="0"/>
            <w:vAlign w:val="center"/>
          </w:tcPr>
          <w:p w14:paraId="268C7C66">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（四）诚信情况（5分）</w:t>
            </w:r>
          </w:p>
        </w:tc>
        <w:tc>
          <w:tcPr>
            <w:tcW w:w="2923" w:type="pct"/>
            <w:noWrap w:val="0"/>
            <w:vAlign w:val="center"/>
          </w:tcPr>
          <w:p w14:paraId="3B143F83">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lang w:eastAsia="zh-CN"/>
              </w:rPr>
              <w:t>投标</w:t>
            </w:r>
            <w:r>
              <w:rPr>
                <w:rFonts w:hint="eastAsia" w:ascii="仿宋_GB2312" w:hAnsi="仿宋_GB2312" w:eastAsia="仿宋_GB2312" w:cs="仿宋_GB2312"/>
                <w:color w:val="auto"/>
                <w:kern w:val="2"/>
                <w:sz w:val="32"/>
                <w:szCs w:val="32"/>
                <w:highlight w:val="none"/>
              </w:rPr>
              <w:t>人在参与政府采购活动中存在诚信相关问题且在主管部门相关处理措施实施期限内的，本项不得分，否则得满分。</w:t>
            </w:r>
          </w:p>
          <w:p w14:paraId="3B93A9D0">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lang w:val="en-US" w:eastAsia="zh-CN"/>
              </w:rPr>
              <w:t>需</w:t>
            </w:r>
            <w:r>
              <w:rPr>
                <w:rFonts w:hint="eastAsia" w:ascii="仿宋_GB2312" w:hAnsi="仿宋_GB2312" w:eastAsia="仿宋_GB2312" w:cs="仿宋_GB2312"/>
                <w:color w:val="auto"/>
                <w:kern w:val="2"/>
                <w:sz w:val="32"/>
                <w:szCs w:val="32"/>
                <w:highlight w:val="none"/>
              </w:rPr>
              <w:t>提供《诚信承诺函》，按采购文件格式要求提供，不提供不得分。如被认定提供的陈述与事实不符的，依法追究其责任。</w:t>
            </w:r>
          </w:p>
        </w:tc>
      </w:tr>
    </w:tbl>
    <w:p w14:paraId="30A12B4E">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黑体" w:hAnsi="黑体" w:eastAsia="黑体" w:cs="黑体"/>
          <w:bCs/>
          <w:sz w:val="32"/>
          <w:szCs w:val="32"/>
          <w:highlight w:val="none"/>
        </w:rPr>
      </w:pPr>
      <w:r>
        <w:rPr>
          <w:rFonts w:hint="eastAsia" w:ascii="黑体" w:hAnsi="黑体" w:eastAsia="黑体" w:cs="黑体"/>
          <w:sz w:val="32"/>
          <w:szCs w:val="32"/>
          <w:highlight w:val="none"/>
          <w:lang w:val="en-US" w:eastAsia="zh-CN"/>
        </w:rPr>
        <w:t>九、投标时提交的资料</w:t>
      </w:r>
    </w:p>
    <w:p w14:paraId="7D12025D">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1.营业执</w:t>
      </w:r>
      <w:r>
        <w:rPr>
          <w:rFonts w:hint="eastAsia" w:ascii="仿宋_GB2312" w:hAnsi="仿宋_GB2312" w:eastAsia="仿宋_GB2312" w:cs="仿宋_GB2312"/>
          <w:bCs/>
          <w:i w:val="0"/>
          <w:iCs w:val="0"/>
          <w:caps w:val="0"/>
          <w:color w:val="auto"/>
          <w:spacing w:val="0"/>
          <w:sz w:val="32"/>
          <w:szCs w:val="32"/>
          <w:highlight w:val="none"/>
          <w:shd w:val="clear" w:fill="auto"/>
          <w:lang w:val="en-US" w:eastAsia="zh-CN"/>
        </w:rPr>
        <w:t>照复印件</w:t>
      </w:r>
      <w:r>
        <w:rPr>
          <w:rFonts w:hint="eastAsia" w:ascii="仿宋_GB2312" w:hAnsi="仿宋_GB2312" w:eastAsia="仿宋_GB2312" w:cs="仿宋_GB2312"/>
          <w:b w:val="0"/>
          <w:bCs/>
          <w:color w:val="auto"/>
          <w:sz w:val="32"/>
          <w:szCs w:val="32"/>
          <w:highlight w:val="none"/>
          <w:lang w:val="en-US" w:eastAsia="zh-CN"/>
        </w:rPr>
        <w:t>；</w:t>
      </w:r>
    </w:p>
    <w:p w14:paraId="093DC8CC">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2.</w:t>
      </w:r>
      <w:r>
        <w:rPr>
          <w:rFonts w:hint="eastAsia" w:ascii="仿宋_GB2312" w:hAnsi="仿宋_GB2312" w:eastAsia="仿宋_GB2312" w:cs="仿宋_GB2312"/>
          <w:bCs/>
          <w:i w:val="0"/>
          <w:iCs w:val="0"/>
          <w:caps w:val="0"/>
          <w:color w:val="auto"/>
          <w:spacing w:val="0"/>
          <w:sz w:val="32"/>
          <w:szCs w:val="32"/>
          <w:highlight w:val="none"/>
          <w:shd w:val="clear" w:fill="auto"/>
          <w:lang w:val="en-US" w:eastAsia="zh-CN"/>
        </w:rPr>
        <w:t>单位法人证明书原件及法人身份证复印件、授权委托书原件及被授权人身份证复印件</w:t>
      </w:r>
      <w:r>
        <w:rPr>
          <w:rFonts w:hint="eastAsia" w:ascii="仿宋_GB2312" w:hAnsi="仿宋_GB2312" w:eastAsia="仿宋_GB2312" w:cs="仿宋_GB2312"/>
          <w:b w:val="0"/>
          <w:bCs/>
          <w:color w:val="auto"/>
          <w:sz w:val="32"/>
          <w:szCs w:val="32"/>
          <w:highlight w:val="none"/>
          <w:lang w:val="en-US" w:eastAsia="zh-CN"/>
        </w:rPr>
        <w:t>；</w:t>
      </w:r>
    </w:p>
    <w:p w14:paraId="68C7BFD7">
      <w:pPr>
        <w:keepNext w:val="0"/>
        <w:keepLines w:val="0"/>
        <w:pageBreakBefore w:val="0"/>
        <w:widowControl w:val="0"/>
        <w:numPr>
          <w:ilvl w:val="0"/>
          <w:numId w:val="0"/>
        </w:numPr>
        <w:kinsoku/>
        <w:wordWrap/>
        <w:overflowPunct/>
        <w:topLinePunct w:val="0"/>
        <w:autoSpaceDE/>
        <w:autoSpaceDN/>
        <w:bidi w:val="0"/>
        <w:spacing w:beforeLines="0" w:afterLines="0" w:line="579"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b w:val="0"/>
          <w:bCs/>
          <w:color w:val="auto"/>
          <w:sz w:val="32"/>
          <w:szCs w:val="32"/>
          <w:lang w:val="en-US" w:eastAsia="zh-CN"/>
        </w:rPr>
        <w:t>法定代表人，被授权人近三个月最近一月的社保缴纳证明；</w:t>
      </w:r>
    </w:p>
    <w:p w14:paraId="7D37A891">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4.</w:t>
      </w:r>
      <w:r>
        <w:rPr>
          <w:rFonts w:hint="eastAsia" w:ascii="仿宋_GB2312" w:hAnsi="仿宋_GB2312" w:eastAsia="仿宋_GB2312" w:cs="仿宋_GB2312"/>
          <w:bCs/>
          <w:i w:val="0"/>
          <w:iCs w:val="0"/>
          <w:caps w:val="0"/>
          <w:color w:val="auto"/>
          <w:spacing w:val="0"/>
          <w:sz w:val="32"/>
          <w:szCs w:val="32"/>
          <w:highlight w:val="none"/>
          <w:shd w:val="clear" w:fill="auto"/>
          <w:lang w:val="en-US" w:eastAsia="zh-CN"/>
        </w:rPr>
        <w:t>报价方案文件</w:t>
      </w:r>
      <w:r>
        <w:rPr>
          <w:rFonts w:hint="eastAsia" w:ascii="仿宋_GB2312" w:hAnsi="仿宋_GB2312" w:eastAsia="仿宋_GB2312" w:cs="仿宋_GB2312"/>
          <w:bCs/>
          <w:i w:val="0"/>
          <w:iCs w:val="0"/>
          <w:caps w:val="0"/>
          <w:color w:val="auto"/>
          <w:spacing w:val="0"/>
          <w:sz w:val="32"/>
          <w:szCs w:val="32"/>
          <w:highlight w:val="none"/>
          <w:shd w:val="clear" w:fill="FFFFFF"/>
          <w:lang w:val="en-US" w:eastAsia="zh-CN"/>
        </w:rPr>
        <w:t>（附件1）</w:t>
      </w:r>
      <w:r>
        <w:rPr>
          <w:rFonts w:hint="eastAsia" w:ascii="仿宋_GB2312" w:hAnsi="仿宋_GB2312" w:eastAsia="仿宋_GB2312" w:cs="仿宋_GB2312"/>
          <w:b w:val="0"/>
          <w:bCs/>
          <w:color w:val="auto"/>
          <w:sz w:val="32"/>
          <w:szCs w:val="32"/>
          <w:highlight w:val="none"/>
          <w:lang w:val="en-US" w:eastAsia="zh-CN"/>
        </w:rPr>
        <w:t>；</w:t>
      </w:r>
    </w:p>
    <w:p w14:paraId="042AB860">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5.</w:t>
      </w:r>
      <w:r>
        <w:rPr>
          <w:rFonts w:hint="eastAsia" w:ascii="仿宋_GB2312" w:hAnsi="仿宋_GB2312" w:eastAsia="仿宋_GB2312" w:cs="仿宋_GB2312"/>
          <w:color w:val="auto"/>
          <w:sz w:val="32"/>
          <w:szCs w:val="32"/>
          <w:lang w:eastAsia="zh-CN"/>
        </w:rPr>
        <w:t>实施</w:t>
      </w:r>
      <w:r>
        <w:rPr>
          <w:rFonts w:hint="eastAsia" w:ascii="仿宋_GB2312" w:hAnsi="仿宋_GB2312" w:eastAsia="仿宋_GB2312" w:cs="仿宋_GB2312"/>
          <w:color w:val="auto"/>
          <w:sz w:val="32"/>
          <w:szCs w:val="32"/>
        </w:rPr>
        <w:t>方案（</w:t>
      </w:r>
      <w:r>
        <w:rPr>
          <w:rFonts w:hint="eastAsia" w:ascii="仿宋_GB2312" w:hAnsi="仿宋_GB2312" w:eastAsia="仿宋_GB2312" w:cs="仿宋_GB2312"/>
          <w:color w:val="auto"/>
          <w:sz w:val="32"/>
          <w:szCs w:val="32"/>
          <w:lang w:val="en-US" w:eastAsia="zh-CN"/>
        </w:rPr>
        <w:t>课程进度安排，</w:t>
      </w:r>
      <w:r>
        <w:rPr>
          <w:rFonts w:hint="eastAsia" w:ascii="仿宋_GB2312" w:hAnsi="仿宋_GB2312" w:eastAsia="仿宋_GB2312" w:cs="仿宋_GB2312"/>
          <w:color w:val="auto"/>
          <w:sz w:val="32"/>
          <w:szCs w:val="32"/>
          <w:lang w:eastAsia="zh-CN"/>
        </w:rPr>
        <w:t>课程内容</w:t>
      </w:r>
      <w:r>
        <w:rPr>
          <w:rFonts w:hint="eastAsia" w:ascii="仿宋_GB2312" w:hAnsi="仿宋_GB2312" w:eastAsia="仿宋_GB2312" w:cs="仿宋_GB2312"/>
          <w:color w:val="auto"/>
          <w:sz w:val="32"/>
          <w:szCs w:val="32"/>
          <w:lang w:val="en-US" w:eastAsia="zh-CN"/>
        </w:rPr>
        <w:t>安排</w:t>
      </w:r>
      <w:r>
        <w:rPr>
          <w:rFonts w:hint="eastAsia" w:ascii="仿宋_GB2312" w:hAnsi="仿宋_GB2312" w:eastAsia="仿宋_GB2312" w:cs="仿宋_GB2312"/>
          <w:color w:val="auto"/>
          <w:sz w:val="32"/>
          <w:szCs w:val="32"/>
          <w:lang w:eastAsia="zh-CN"/>
        </w:rPr>
        <w:t>，应急预案</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val="0"/>
          <w:bCs/>
          <w:color w:val="auto"/>
          <w:sz w:val="32"/>
          <w:szCs w:val="32"/>
          <w:highlight w:val="none"/>
          <w:lang w:val="en-US" w:eastAsia="zh-CN"/>
        </w:rPr>
        <w:t>（格式自定）；</w:t>
      </w:r>
    </w:p>
    <w:p w14:paraId="028DA61F">
      <w:pPr>
        <w:pStyle w:val="2"/>
        <w:ind w:firstLine="640" w:firstLineChars="200"/>
        <w:jc w:val="both"/>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6.</w:t>
      </w:r>
      <w:r>
        <w:rPr>
          <w:rFonts w:hint="eastAsia" w:ascii="仿宋_GB2312" w:hAnsi="仿宋_GB2312" w:eastAsia="仿宋_GB2312" w:cs="仿宋_GB2312"/>
          <w:color w:val="auto"/>
          <w:sz w:val="32"/>
          <w:szCs w:val="32"/>
        </w:rPr>
        <w:t>项目质量管理及保证措施</w:t>
      </w:r>
      <w:r>
        <w:rPr>
          <w:rFonts w:hint="eastAsia" w:ascii="仿宋_GB2312" w:hAnsi="仿宋_GB2312" w:eastAsia="仿宋_GB2312" w:cs="仿宋_GB2312"/>
          <w:b w:val="0"/>
          <w:bCs/>
          <w:color w:val="auto"/>
          <w:sz w:val="32"/>
          <w:szCs w:val="32"/>
          <w:highlight w:val="none"/>
          <w:lang w:val="en-US" w:eastAsia="zh-CN"/>
        </w:rPr>
        <w:t>（格式自定）；</w:t>
      </w:r>
    </w:p>
    <w:p w14:paraId="68DD88EF">
      <w:pPr>
        <w:pStyle w:val="2"/>
        <w:ind w:firstLine="640" w:firstLineChars="200"/>
        <w:jc w:val="both"/>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拟安排的项目团队</w:t>
      </w:r>
      <w:r>
        <w:rPr>
          <w:rFonts w:hint="eastAsia" w:ascii="仿宋_GB2312" w:hAnsi="仿宋_GB2312" w:eastAsia="仿宋_GB2312" w:cs="仿宋_GB2312"/>
          <w:color w:val="auto"/>
          <w:sz w:val="32"/>
          <w:szCs w:val="32"/>
          <w:highlight w:val="none"/>
          <w:lang w:val="en-US" w:eastAsia="zh-CN"/>
        </w:rPr>
        <w:t>负责人</w:t>
      </w:r>
      <w:r>
        <w:rPr>
          <w:rFonts w:hint="eastAsia" w:ascii="仿宋_GB2312" w:hAnsi="仿宋_GB2312" w:eastAsia="仿宋_GB2312" w:cs="仿宋_GB2312"/>
          <w:color w:val="auto"/>
          <w:sz w:val="32"/>
          <w:szCs w:val="32"/>
          <w:highlight w:val="none"/>
        </w:rPr>
        <w:t>情况</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仅限1名）</w:t>
      </w:r>
      <w:r>
        <w:rPr>
          <w:rFonts w:hint="eastAsia" w:ascii="仿宋_GB2312" w:hAnsi="仿宋_GB2312" w:eastAsia="仿宋_GB2312" w:cs="仿宋_GB2312"/>
          <w:b w:val="0"/>
          <w:bCs/>
          <w:color w:val="auto"/>
          <w:sz w:val="32"/>
          <w:szCs w:val="32"/>
          <w:highlight w:val="none"/>
          <w:lang w:val="en-US" w:eastAsia="zh-CN"/>
        </w:rPr>
        <w:t>（格式自定）；</w:t>
      </w:r>
    </w:p>
    <w:p w14:paraId="0F72CE8B">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8.</w:t>
      </w:r>
      <w:r>
        <w:rPr>
          <w:rFonts w:hint="eastAsia" w:ascii="仿宋_GB2312" w:hAnsi="仿宋_GB2312" w:eastAsia="仿宋_GB2312" w:cs="仿宋_GB2312"/>
          <w:color w:val="000000" w:themeColor="text1"/>
          <w:sz w:val="32"/>
          <w:szCs w:val="32"/>
          <w:highlight w:val="none"/>
          <w14:textFill>
            <w14:solidFill>
              <w14:schemeClr w14:val="tx1"/>
            </w14:solidFill>
          </w14:textFill>
        </w:rPr>
        <w:t>拟安排的项目团队成员情况</w:t>
      </w:r>
      <w:r>
        <w:rPr>
          <w:rFonts w:hint="eastAsia" w:ascii="仿宋_GB2312" w:hAnsi="仿宋_GB2312" w:eastAsia="仿宋_GB2312" w:cs="仿宋_GB2312"/>
          <w:b w:val="0"/>
          <w:bCs/>
          <w:color w:val="auto"/>
          <w:sz w:val="32"/>
          <w:szCs w:val="32"/>
          <w:highlight w:val="none"/>
          <w:lang w:val="en-US" w:eastAsia="zh-CN"/>
        </w:rPr>
        <w:t>（格式自定）；</w:t>
      </w:r>
    </w:p>
    <w:p w14:paraId="1BD6ABBA">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9.同类业绩（格式自定）；</w:t>
      </w:r>
    </w:p>
    <w:p w14:paraId="5CB9122A">
      <w:pPr>
        <w:keepNext w:val="0"/>
        <w:keepLines w:val="0"/>
        <w:pageBreakBefore w:val="0"/>
        <w:widowControl w:val="0"/>
        <w:numPr>
          <w:ilvl w:val="0"/>
          <w:numId w:val="0"/>
        </w:numPr>
        <w:kinsoku/>
        <w:wordWrap/>
        <w:overflowPunct/>
        <w:topLinePunct w:val="0"/>
        <w:autoSpaceDE/>
        <w:autoSpaceDN/>
        <w:bidi w:val="0"/>
        <w:spacing w:line="579" w:lineRule="exact"/>
        <w:ind w:left="0" w:leftChars="0" w:firstLineChars="200"/>
        <w:jc w:val="both"/>
        <w:textAlignment w:val="auto"/>
        <w:rPr>
          <w:rFonts w:hint="eastAsia" w:ascii="仿宋_GB2312" w:hAnsi="仿宋_GB2312" w:eastAsia="仿宋_GB2312" w:cs="仿宋_GB2312"/>
          <w:bCs/>
          <w:i w:val="0"/>
          <w:iCs w:val="0"/>
          <w:caps w:val="0"/>
          <w:color w:val="auto"/>
          <w:spacing w:val="0"/>
          <w:sz w:val="32"/>
          <w:szCs w:val="32"/>
          <w:highlight w:val="none"/>
          <w:shd w:val="clear" w:fill="FFFFFF"/>
          <w:lang w:val="en-US" w:eastAsia="zh-CN"/>
        </w:rPr>
      </w:pPr>
      <w:r>
        <w:rPr>
          <w:rFonts w:hint="eastAsia" w:ascii="仿宋_GB2312" w:hAnsi="仿宋_GB2312" w:eastAsia="仿宋_GB2312" w:cs="仿宋_GB2312"/>
          <w:bCs/>
          <w:i w:val="0"/>
          <w:iCs w:val="0"/>
          <w:caps w:val="0"/>
          <w:color w:val="auto"/>
          <w:spacing w:val="0"/>
          <w:sz w:val="32"/>
          <w:szCs w:val="32"/>
          <w:highlight w:val="none"/>
          <w:shd w:val="clear" w:fill="FFFFFF"/>
          <w:lang w:val="en-US" w:eastAsia="zh-CN"/>
        </w:rPr>
        <w:t>10.供应商基本情况表（附件2）；</w:t>
      </w:r>
    </w:p>
    <w:p w14:paraId="19BE8063">
      <w:pPr>
        <w:keepNext w:val="0"/>
        <w:keepLines w:val="0"/>
        <w:pageBreakBefore w:val="0"/>
        <w:widowControl w:val="0"/>
        <w:numPr>
          <w:ilvl w:val="0"/>
          <w:numId w:val="0"/>
        </w:numPr>
        <w:kinsoku/>
        <w:wordWrap/>
        <w:overflowPunct/>
        <w:topLinePunct w:val="0"/>
        <w:autoSpaceDE/>
        <w:autoSpaceDN/>
        <w:bidi w:val="0"/>
        <w:spacing w:line="579" w:lineRule="exact"/>
        <w:ind w:left="0" w:leftChars="0" w:firstLine="640" w:firstLineChars="200"/>
        <w:textAlignment w:val="auto"/>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i w:val="0"/>
          <w:iCs w:val="0"/>
          <w:caps w:val="0"/>
          <w:color w:val="auto"/>
          <w:spacing w:val="0"/>
          <w:sz w:val="32"/>
          <w:szCs w:val="32"/>
          <w:highlight w:val="none"/>
          <w:shd w:val="clear" w:fill="auto"/>
          <w:lang w:val="en-US" w:eastAsia="zh-CN"/>
        </w:rPr>
        <w:t>11.政府采购违法行为风险知悉确认书（附件3）；</w:t>
      </w:r>
    </w:p>
    <w:p w14:paraId="096279D6">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Cs/>
          <w:i w:val="0"/>
          <w:iCs w:val="0"/>
          <w:caps w:val="0"/>
          <w:color w:val="auto"/>
          <w:spacing w:val="0"/>
          <w:sz w:val="32"/>
          <w:szCs w:val="32"/>
          <w:highlight w:val="none"/>
          <w:shd w:val="clear" w:fill="auto"/>
          <w:lang w:val="en-US" w:eastAsia="zh-CN"/>
        </w:rPr>
      </w:pPr>
      <w:r>
        <w:rPr>
          <w:rFonts w:hint="eastAsia" w:ascii="仿宋_GB2312" w:hAnsi="仿宋_GB2312" w:eastAsia="仿宋_GB2312" w:cs="仿宋_GB2312"/>
          <w:b w:val="0"/>
          <w:bCs/>
          <w:color w:val="auto"/>
          <w:sz w:val="32"/>
          <w:szCs w:val="32"/>
          <w:highlight w:val="none"/>
          <w:lang w:val="en-US" w:eastAsia="zh-CN"/>
        </w:rPr>
        <w:t>12.履约承诺函</w:t>
      </w:r>
      <w:r>
        <w:rPr>
          <w:rFonts w:hint="eastAsia" w:ascii="仿宋_GB2312" w:hAnsi="仿宋_GB2312" w:eastAsia="仿宋_GB2312" w:cs="仿宋_GB2312"/>
          <w:bCs/>
          <w:i w:val="0"/>
          <w:iCs w:val="0"/>
          <w:caps w:val="0"/>
          <w:color w:val="auto"/>
          <w:spacing w:val="0"/>
          <w:sz w:val="32"/>
          <w:szCs w:val="32"/>
          <w:highlight w:val="none"/>
          <w:shd w:val="clear" w:fill="auto"/>
          <w:lang w:val="en-US" w:eastAsia="zh-CN"/>
        </w:rPr>
        <w:t>（附件4）；</w:t>
      </w:r>
    </w:p>
    <w:p w14:paraId="5DF3FEA5">
      <w:pPr>
        <w:pStyle w:val="2"/>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13.</w:t>
      </w:r>
      <w:r>
        <w:rPr>
          <w:rFonts w:hint="eastAsia" w:ascii="仿宋_GB2312" w:hAnsi="仿宋_GB2312" w:eastAsia="仿宋_GB2312" w:cs="仿宋_GB2312"/>
          <w:kern w:val="2"/>
          <w:sz w:val="32"/>
          <w:szCs w:val="32"/>
          <w:highlight w:val="none"/>
          <w:lang w:val="en-US" w:eastAsia="zh-CN" w:bidi="ar-SA"/>
        </w:rPr>
        <w:t>诚信承诺函（附件5）；</w:t>
      </w:r>
    </w:p>
    <w:p w14:paraId="692D2CE8">
      <w:pPr>
        <w:pStyle w:val="10"/>
        <w:keepNext w:val="0"/>
        <w:keepLines w:val="0"/>
        <w:pageBreakBefore w:val="0"/>
        <w:widowControl w:val="0"/>
        <w:kinsoku/>
        <w:wordWrap/>
        <w:overflowPunct/>
        <w:topLinePunct w:val="0"/>
        <w:autoSpaceDE/>
        <w:autoSpaceDN/>
        <w:bidi w:val="0"/>
        <w:spacing w:line="579" w:lineRule="exact"/>
        <w:ind w:left="0" w:leftChars="0" w:firstLine="640" w:firstLineChars="0"/>
        <w:jc w:val="left"/>
        <w:textAlignment w:val="auto"/>
        <w:rPr>
          <w:rFonts w:hint="eastAsia"/>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14.其他供应商认为有必要提供的其他材料。</w:t>
      </w:r>
    </w:p>
    <w:p w14:paraId="79BC53AB">
      <w:pPr>
        <w:pStyle w:val="10"/>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以上资料均须加盖投标单位公章，供应商递交的投标响应文件须密封完好，并在密封处加盖投标人公章。</w:t>
      </w:r>
    </w:p>
    <w:p w14:paraId="271EFC47">
      <w:pPr>
        <w:rPr>
          <w:rFonts w:hint="eastAsia"/>
        </w:rPr>
      </w:pPr>
    </w:p>
    <w:p w14:paraId="2548CEA3">
      <w:pPr>
        <w:pStyle w:val="11"/>
        <w:keepNext w:val="0"/>
        <w:keepLines w:val="0"/>
        <w:pageBreakBefore w:val="0"/>
        <w:widowControl w:val="0"/>
        <w:kinsoku/>
        <w:overflowPunct/>
        <w:topLinePunct w:val="0"/>
        <w:autoSpaceDE/>
        <w:autoSpaceDN/>
        <w:bidi w:val="0"/>
        <w:adjustRightInd/>
        <w:snapToGrid/>
        <w:spacing w:line="579" w:lineRule="exact"/>
        <w:jc w:val="left"/>
        <w:textAlignment w:val="auto"/>
        <w:rPr>
          <w:rFonts w:hint="eastAsia" w:hAnsi="仿宋_GB2312" w:cs="仿宋_GB2312"/>
          <w:sz w:val="32"/>
          <w:szCs w:val="32"/>
          <w:highlight w:val="none"/>
          <w:lang w:val="en-US" w:eastAsia="zh-CN"/>
        </w:rPr>
      </w:pPr>
      <w:r>
        <w:rPr>
          <w:rFonts w:hint="eastAsia" w:hAnsi="仿宋_GB2312" w:cs="仿宋_GB2312"/>
          <w:sz w:val="32"/>
          <w:szCs w:val="32"/>
          <w:highlight w:val="none"/>
          <w:lang w:val="en-US" w:eastAsia="zh-CN"/>
        </w:rPr>
        <w:t>附件：1.</w:t>
      </w:r>
      <w:r>
        <w:rPr>
          <w:rFonts w:hint="eastAsia" w:ascii="仿宋_GB2312" w:hAnsi="仿宋_GB2312" w:eastAsia="仿宋_GB2312" w:cs="仿宋_GB2312"/>
          <w:bCs/>
          <w:i w:val="0"/>
          <w:iCs w:val="0"/>
          <w:caps w:val="0"/>
          <w:color w:val="auto"/>
          <w:spacing w:val="0"/>
          <w:sz w:val="32"/>
          <w:szCs w:val="32"/>
          <w:highlight w:val="none"/>
          <w:shd w:val="clear" w:fill="auto"/>
          <w:lang w:val="en-US" w:eastAsia="zh-CN"/>
        </w:rPr>
        <w:t>报价方案文件</w:t>
      </w:r>
    </w:p>
    <w:p w14:paraId="371DB17E">
      <w:pPr>
        <w:pStyle w:val="11"/>
        <w:keepNext w:val="0"/>
        <w:keepLines w:val="0"/>
        <w:pageBreakBefore w:val="0"/>
        <w:widowControl w:val="0"/>
        <w:kinsoku/>
        <w:overflowPunct/>
        <w:topLinePunct w:val="0"/>
        <w:autoSpaceDE/>
        <w:autoSpaceDN/>
        <w:bidi w:val="0"/>
        <w:adjustRightInd/>
        <w:snapToGrid/>
        <w:spacing w:line="579" w:lineRule="exact"/>
        <w:ind w:firstLine="1600" w:firstLineChars="500"/>
        <w:jc w:val="left"/>
        <w:textAlignment w:val="auto"/>
        <w:rPr>
          <w:rFonts w:hint="default" w:hAnsi="仿宋_GB2312" w:cs="仿宋_GB2312"/>
          <w:sz w:val="32"/>
          <w:szCs w:val="32"/>
          <w:highlight w:val="none"/>
          <w:lang w:val="en-US" w:eastAsia="zh-CN"/>
        </w:rPr>
      </w:pPr>
      <w:r>
        <w:rPr>
          <w:rFonts w:hint="eastAsia" w:hAnsi="仿宋_GB2312" w:cs="仿宋_GB2312"/>
          <w:sz w:val="32"/>
          <w:szCs w:val="32"/>
          <w:highlight w:val="none"/>
          <w:lang w:val="en-US" w:eastAsia="zh-CN"/>
        </w:rPr>
        <w:t>2.供应商基本情况表</w:t>
      </w:r>
    </w:p>
    <w:p w14:paraId="7675A812">
      <w:pPr>
        <w:pStyle w:val="11"/>
        <w:keepNext w:val="0"/>
        <w:keepLines w:val="0"/>
        <w:pageBreakBefore w:val="0"/>
        <w:widowControl w:val="0"/>
        <w:kinsoku/>
        <w:overflowPunct/>
        <w:topLinePunct w:val="0"/>
        <w:autoSpaceDE/>
        <w:autoSpaceDN/>
        <w:bidi w:val="0"/>
        <w:adjustRightInd/>
        <w:snapToGrid/>
        <w:spacing w:line="579" w:lineRule="exact"/>
        <w:ind w:firstLine="1600" w:firstLineChars="500"/>
        <w:jc w:val="left"/>
        <w:textAlignment w:val="auto"/>
        <w:rPr>
          <w:rFonts w:hint="eastAsia" w:hAnsi="仿宋_GB2312" w:cs="仿宋_GB2312"/>
          <w:sz w:val="32"/>
          <w:szCs w:val="32"/>
          <w:highlight w:val="none"/>
          <w:lang w:val="en-US" w:eastAsia="zh-CN"/>
        </w:rPr>
      </w:pPr>
      <w:r>
        <w:rPr>
          <w:rFonts w:hint="eastAsia" w:hAnsi="仿宋_GB2312" w:cs="仿宋_GB2312"/>
          <w:sz w:val="32"/>
          <w:szCs w:val="32"/>
          <w:highlight w:val="none"/>
          <w:lang w:val="en-US" w:eastAsia="zh-CN"/>
        </w:rPr>
        <w:t>3.政府采购违法行为风险知悉确认书</w:t>
      </w:r>
    </w:p>
    <w:p w14:paraId="35A92DED">
      <w:pPr>
        <w:pStyle w:val="11"/>
        <w:keepNext w:val="0"/>
        <w:keepLines w:val="0"/>
        <w:pageBreakBefore w:val="0"/>
        <w:widowControl w:val="0"/>
        <w:kinsoku/>
        <w:overflowPunct/>
        <w:topLinePunct w:val="0"/>
        <w:autoSpaceDE/>
        <w:autoSpaceDN/>
        <w:bidi w:val="0"/>
        <w:adjustRightInd/>
        <w:snapToGrid/>
        <w:spacing w:line="579" w:lineRule="exact"/>
        <w:ind w:firstLine="1600" w:firstLineChars="500"/>
        <w:jc w:val="left"/>
        <w:textAlignment w:val="auto"/>
        <w:rPr>
          <w:rFonts w:hint="eastAsia" w:hAnsi="仿宋_GB2312" w:cs="仿宋_GB2312"/>
          <w:sz w:val="32"/>
          <w:szCs w:val="32"/>
          <w:highlight w:val="none"/>
          <w:lang w:val="en-US" w:eastAsia="zh-CN"/>
        </w:rPr>
      </w:pPr>
      <w:r>
        <w:rPr>
          <w:rFonts w:hint="eastAsia" w:hAnsi="仿宋_GB2312" w:cs="仿宋_GB2312"/>
          <w:sz w:val="32"/>
          <w:szCs w:val="32"/>
          <w:highlight w:val="none"/>
          <w:lang w:val="en-US" w:eastAsia="zh-CN"/>
        </w:rPr>
        <w:t>4.履约承诺函</w:t>
      </w:r>
    </w:p>
    <w:p w14:paraId="10B3CF48">
      <w:pPr>
        <w:pStyle w:val="11"/>
        <w:keepNext w:val="0"/>
        <w:keepLines w:val="0"/>
        <w:pageBreakBefore w:val="0"/>
        <w:widowControl w:val="0"/>
        <w:kinsoku/>
        <w:overflowPunct/>
        <w:topLinePunct w:val="0"/>
        <w:autoSpaceDE/>
        <w:autoSpaceDN/>
        <w:bidi w:val="0"/>
        <w:adjustRightInd/>
        <w:snapToGrid/>
        <w:spacing w:line="579" w:lineRule="exact"/>
        <w:ind w:firstLine="1600" w:firstLineChars="500"/>
        <w:jc w:val="left"/>
        <w:textAlignment w:val="auto"/>
        <w:rPr>
          <w:rFonts w:hint="default" w:hAnsi="仿宋_GB2312" w:cs="仿宋_GB2312"/>
          <w:sz w:val="32"/>
          <w:szCs w:val="32"/>
          <w:highlight w:val="none"/>
          <w:lang w:val="en-US" w:eastAsia="zh-CN"/>
        </w:rPr>
      </w:pPr>
      <w:r>
        <w:rPr>
          <w:rFonts w:hint="eastAsia" w:hAnsi="仿宋_GB2312" w:cs="仿宋_GB2312"/>
          <w:sz w:val="32"/>
          <w:szCs w:val="32"/>
          <w:highlight w:val="none"/>
          <w:lang w:val="en-US" w:eastAsia="zh-CN"/>
        </w:rPr>
        <w:t>5.诚信承诺函</w:t>
      </w:r>
    </w:p>
    <w:p w14:paraId="78357089">
      <w:pPr>
        <w:pStyle w:val="3"/>
        <w:keepNext w:val="0"/>
        <w:keepLines w:val="0"/>
        <w:pageBreakBefore w:val="0"/>
        <w:widowControl w:val="0"/>
        <w:kinsoku/>
        <w:wordWrap/>
        <w:overflowPunct/>
        <w:topLinePunct w:val="0"/>
        <w:autoSpaceDE/>
        <w:autoSpaceDN/>
        <w:bidi w:val="0"/>
        <w:adjustRightInd w:val="0"/>
        <w:snapToGrid w:val="0"/>
        <w:spacing w:line="579" w:lineRule="exact"/>
        <w:ind w:left="0" w:leftChars="0" w:firstLine="0" w:firstLineChars="0"/>
        <w:contextualSpacing/>
        <w:textAlignment w:val="auto"/>
        <w:rPr>
          <w:rFonts w:hint="eastAsia" w:ascii="仿宋_GB2312" w:hAnsi="仿宋_GB2312" w:eastAsia="仿宋_GB2312" w:cs="仿宋_GB2312"/>
          <w:bCs/>
          <w:sz w:val="32"/>
          <w:szCs w:val="32"/>
        </w:rPr>
      </w:pPr>
    </w:p>
    <w:p w14:paraId="7A7ABD67">
      <w:pPr>
        <w:pStyle w:val="3"/>
        <w:keepNext w:val="0"/>
        <w:keepLines w:val="0"/>
        <w:pageBreakBefore w:val="0"/>
        <w:widowControl w:val="0"/>
        <w:kinsoku/>
        <w:wordWrap/>
        <w:overflowPunct/>
        <w:topLinePunct w:val="0"/>
        <w:autoSpaceDE/>
        <w:autoSpaceDN/>
        <w:bidi w:val="0"/>
        <w:adjustRightInd w:val="0"/>
        <w:snapToGrid w:val="0"/>
        <w:spacing w:line="579" w:lineRule="exact"/>
        <w:ind w:left="0" w:leftChars="0" w:firstLine="0" w:firstLineChars="0"/>
        <w:contextualSpacing/>
        <w:textAlignment w:val="auto"/>
        <w:rPr>
          <w:rFonts w:hint="eastAsia" w:ascii="仿宋_GB2312" w:hAnsi="仿宋_GB2312" w:eastAsia="仿宋_GB2312" w:cs="仿宋_GB2312"/>
          <w:bCs/>
          <w:sz w:val="32"/>
          <w:szCs w:val="32"/>
        </w:rPr>
      </w:pPr>
    </w:p>
    <w:p w14:paraId="5559E240">
      <w:pPr>
        <w:pStyle w:val="3"/>
        <w:keepNext w:val="0"/>
        <w:keepLines w:val="0"/>
        <w:pageBreakBefore w:val="0"/>
        <w:widowControl w:val="0"/>
        <w:kinsoku/>
        <w:wordWrap/>
        <w:overflowPunct/>
        <w:topLinePunct w:val="0"/>
        <w:autoSpaceDE/>
        <w:autoSpaceDN/>
        <w:bidi w:val="0"/>
        <w:adjustRightInd w:val="0"/>
        <w:snapToGrid w:val="0"/>
        <w:spacing w:line="579" w:lineRule="exact"/>
        <w:ind w:firstLine="4160" w:firstLineChars="1300"/>
        <w:contextualSpacing/>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深圳市福田区沙头街道办事处</w:t>
      </w:r>
    </w:p>
    <w:p w14:paraId="18360337">
      <w:pPr>
        <w:keepNext w:val="0"/>
        <w:keepLines w:val="0"/>
        <w:pageBreakBefore w:val="0"/>
        <w:widowControl w:val="0"/>
        <w:kinsoku/>
        <w:wordWrap/>
        <w:overflowPunct/>
        <w:topLinePunct w:val="0"/>
        <w:autoSpaceDE/>
        <w:autoSpaceDN/>
        <w:bidi w:val="0"/>
        <w:adjustRightInd w:val="0"/>
        <w:snapToGrid w:val="0"/>
        <w:spacing w:line="579" w:lineRule="exact"/>
        <w:ind w:firstLine="0" w:firstLineChars="0"/>
        <w:jc w:val="left"/>
        <w:textAlignment w:val="auto"/>
        <w:outlineLvl w:val="9"/>
        <w:rPr>
          <w:rFonts w:hint="eastAsia" w:ascii="黑体" w:hAnsi="黑体" w:eastAsia="黑体" w:cs="黑体"/>
          <w:bCs/>
          <w:sz w:val="32"/>
          <w:szCs w:val="32"/>
          <w:highlight w:val="none"/>
        </w:rPr>
      </w:pPr>
      <w:r>
        <w:rPr>
          <w:rFonts w:ascii="仿宋_GB2312" w:hAnsi="仿宋_GB2312" w:eastAsia="仿宋_GB2312" w:cs="仿宋_GB2312"/>
          <w:bCs/>
          <w:sz w:val="32"/>
          <w:szCs w:val="32"/>
        </w:rPr>
        <w:t xml:space="preserve">                             </w:t>
      </w:r>
      <w:r>
        <w:rPr>
          <w:rFonts w:hint="eastAsia" w:ascii="仿宋_GB2312" w:hAnsi="仿宋_GB2312" w:eastAsia="仿宋_GB2312" w:cs="仿宋_GB2312"/>
          <w:bCs/>
          <w:sz w:val="32"/>
          <w:szCs w:val="32"/>
          <w:lang w:val="en-US" w:eastAsia="zh-CN"/>
        </w:rPr>
        <w:t xml:space="preserve">     </w:t>
      </w:r>
      <w:r>
        <w:rPr>
          <w:rFonts w:ascii="仿宋_GB2312" w:hAnsi="仿宋_GB2312" w:eastAsia="仿宋_GB2312" w:cs="仿宋_GB2312"/>
          <w:bCs/>
          <w:sz w:val="32"/>
          <w:szCs w:val="32"/>
        </w:rPr>
        <w:t>202</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4</w:t>
      </w:r>
      <w:r>
        <w:rPr>
          <w:rFonts w:hint="eastAsia" w:ascii="仿宋_GB2312" w:hAnsi="仿宋_GB2312" w:eastAsia="仿宋_GB2312" w:cs="仿宋_GB2312"/>
          <w:bCs/>
          <w:sz w:val="32"/>
          <w:szCs w:val="32"/>
        </w:rPr>
        <w:t>月</w:t>
      </w:r>
      <w:r>
        <w:rPr>
          <w:rFonts w:hint="eastAsia" w:ascii="仿宋_GB2312" w:hAnsi="仿宋_GB2312" w:eastAsia="仿宋_GB2312" w:cs="仿宋_GB2312"/>
          <w:bCs/>
          <w:sz w:val="32"/>
          <w:szCs w:val="32"/>
          <w:lang w:val="en-US" w:eastAsia="zh-CN"/>
        </w:rPr>
        <w:t>07</w:t>
      </w:r>
      <w:r>
        <w:rPr>
          <w:rFonts w:hint="eastAsia" w:ascii="仿宋_GB2312" w:hAnsi="仿宋_GB2312" w:eastAsia="仿宋_GB2312" w:cs="仿宋_GB2312"/>
          <w:bCs/>
          <w:sz w:val="32"/>
          <w:szCs w:val="32"/>
        </w:rPr>
        <w:t>日</w:t>
      </w:r>
    </w:p>
    <w:p w14:paraId="6A15C9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4648D22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3CF724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65B3C6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3754B3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4C0B3F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4FE496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5A12B2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697D505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77979C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5A05159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1562C03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36F80F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28DA521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3CE2A9D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54E477A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2405C5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6EA5884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642B1F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222F42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779F96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21E8695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515B9E5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71486D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13D312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708532ED">
      <w:pPr>
        <w:widowControl/>
        <w:wordWrap w:val="0"/>
        <w:snapToGrid/>
        <w:spacing w:before="0" w:beforeLines="0" w:after="0" w:afterLines="0" w:line="579" w:lineRule="exact"/>
        <w:jc w:val="both"/>
        <w:outlineLvl w:val="0"/>
        <w:rPr>
          <w:rFonts w:hint="eastAsia" w:ascii="黑体" w:hAnsi="黑体" w:eastAsia="黑体" w:cs="黑体"/>
          <w:b w:val="0"/>
          <w:bCs/>
          <w:kern w:val="2"/>
          <w:sz w:val="32"/>
          <w:szCs w:val="32"/>
          <w:highlight w:val="none"/>
          <w:lang w:val="en-US" w:eastAsia="zh-CN" w:bidi="ar-SA"/>
        </w:rPr>
      </w:pPr>
      <w:r>
        <w:rPr>
          <w:rFonts w:hint="eastAsia" w:ascii="黑体" w:hAnsi="黑体" w:eastAsia="黑体" w:cs="黑体"/>
          <w:b w:val="0"/>
          <w:bCs/>
          <w:kern w:val="2"/>
          <w:sz w:val="32"/>
          <w:szCs w:val="32"/>
          <w:highlight w:val="none"/>
          <w:lang w:val="en-US" w:eastAsia="zh-CN" w:bidi="ar-SA"/>
        </w:rPr>
        <w:t>附件1</w:t>
      </w:r>
    </w:p>
    <w:p w14:paraId="4AF9AF4F">
      <w:pPr>
        <w:widowControl w:val="0"/>
        <w:snapToGrid w:val="0"/>
        <w:spacing w:before="0" w:after="0" w:line="240" w:lineRule="auto"/>
        <w:jc w:val="center"/>
        <w:outlineLvl w:val="0"/>
        <w:rPr>
          <w:rFonts w:hint="eastAsia" w:ascii="方正小标宋简体" w:hAnsi="方正小标宋简体" w:eastAsia="方正小标宋简体" w:cs="方正小标宋简体"/>
          <w:b w:val="0"/>
          <w:bCs w:val="0"/>
          <w:kern w:val="2"/>
          <w:sz w:val="44"/>
          <w:szCs w:val="44"/>
          <w:lang w:val="en-US" w:eastAsia="zh-CN" w:bidi="ar-SA"/>
        </w:rPr>
      </w:pPr>
      <w:r>
        <w:rPr>
          <w:rFonts w:hint="eastAsia" w:ascii="方正小标宋简体" w:hAnsi="方正小标宋简体" w:eastAsia="方正小标宋简体" w:cs="方正小标宋简体"/>
          <w:b w:val="0"/>
          <w:bCs w:val="0"/>
          <w:kern w:val="2"/>
          <w:sz w:val="44"/>
          <w:szCs w:val="44"/>
          <w:lang w:val="en-US" w:eastAsia="zh-CN" w:bidi="ar-SA"/>
        </w:rPr>
        <w:t>报价方案文件</w:t>
      </w:r>
    </w:p>
    <w:p w14:paraId="022CD025">
      <w:pPr>
        <w:rPr>
          <w:rFonts w:hint="eastAsia"/>
          <w:lang w:val="en-US" w:eastAsia="zh-CN"/>
        </w:rPr>
      </w:pPr>
    </w:p>
    <w:tbl>
      <w:tblPr>
        <w:tblStyle w:val="13"/>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6"/>
        <w:gridCol w:w="1222"/>
        <w:gridCol w:w="1874"/>
        <w:gridCol w:w="3116"/>
        <w:gridCol w:w="627"/>
        <w:gridCol w:w="695"/>
        <w:gridCol w:w="897"/>
      </w:tblGrid>
      <w:tr w14:paraId="6A013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626" w:type="dxa"/>
            <w:vAlign w:val="center"/>
          </w:tcPr>
          <w:p w14:paraId="656EC22D">
            <w:pPr>
              <w:pStyle w:val="2"/>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序号</w:t>
            </w:r>
          </w:p>
        </w:tc>
        <w:tc>
          <w:tcPr>
            <w:tcW w:w="1222" w:type="dxa"/>
            <w:vAlign w:val="center"/>
          </w:tcPr>
          <w:p w14:paraId="5FCEC557">
            <w:pPr>
              <w:pStyle w:val="2"/>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类别</w:t>
            </w:r>
          </w:p>
        </w:tc>
        <w:tc>
          <w:tcPr>
            <w:tcW w:w="1874" w:type="dxa"/>
            <w:vAlign w:val="center"/>
          </w:tcPr>
          <w:p w14:paraId="4CED6A73">
            <w:pPr>
              <w:pStyle w:val="2"/>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类型</w:t>
            </w:r>
          </w:p>
        </w:tc>
        <w:tc>
          <w:tcPr>
            <w:tcW w:w="3116" w:type="dxa"/>
            <w:vAlign w:val="center"/>
          </w:tcPr>
          <w:p w14:paraId="0C61C20D">
            <w:pPr>
              <w:pStyle w:val="2"/>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要求</w:t>
            </w:r>
          </w:p>
        </w:tc>
        <w:tc>
          <w:tcPr>
            <w:tcW w:w="627" w:type="dxa"/>
            <w:vAlign w:val="center"/>
          </w:tcPr>
          <w:p w14:paraId="252E3165">
            <w:pPr>
              <w:pStyle w:val="2"/>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数量</w:t>
            </w:r>
          </w:p>
        </w:tc>
        <w:tc>
          <w:tcPr>
            <w:tcW w:w="695" w:type="dxa"/>
            <w:vAlign w:val="center"/>
          </w:tcPr>
          <w:p w14:paraId="1AD54909">
            <w:pPr>
              <w:pStyle w:val="2"/>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单位</w:t>
            </w:r>
          </w:p>
        </w:tc>
        <w:tc>
          <w:tcPr>
            <w:tcW w:w="897" w:type="dxa"/>
            <w:vAlign w:val="center"/>
          </w:tcPr>
          <w:p w14:paraId="55CECDB9">
            <w:pPr>
              <w:pStyle w:val="2"/>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报价金额（元）</w:t>
            </w:r>
          </w:p>
        </w:tc>
      </w:tr>
      <w:tr w14:paraId="25D97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26" w:type="dxa"/>
            <w:vMerge w:val="restart"/>
            <w:vAlign w:val="center"/>
          </w:tcPr>
          <w:p w14:paraId="6764EDF0">
            <w:pPr>
              <w:pStyle w:val="2"/>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w:t>
            </w:r>
          </w:p>
          <w:p w14:paraId="0CD3AB09">
            <w:pPr>
              <w:rPr>
                <w:rFonts w:hint="default"/>
                <w:lang w:val="en-US" w:eastAsia="zh-CN"/>
              </w:rPr>
            </w:pPr>
          </w:p>
        </w:tc>
        <w:tc>
          <w:tcPr>
            <w:tcW w:w="1222" w:type="dxa"/>
            <w:vMerge w:val="restart"/>
            <w:shd w:val="clear" w:color="auto" w:fill="auto"/>
            <w:vAlign w:val="center"/>
          </w:tcPr>
          <w:p w14:paraId="6B081DC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人员</w:t>
            </w:r>
          </w:p>
        </w:tc>
        <w:tc>
          <w:tcPr>
            <w:tcW w:w="1874" w:type="dxa"/>
            <w:shd w:val="clear" w:color="auto" w:fill="auto"/>
            <w:vAlign w:val="center"/>
          </w:tcPr>
          <w:p w14:paraId="5CE00630">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宋体" w:hAnsi="宋体" w:eastAsia="宋体" w:cs="宋体"/>
                <w:i w:val="0"/>
                <w:iCs w:val="0"/>
                <w:color w:val="000000"/>
                <w:kern w:val="0"/>
                <w:sz w:val="20"/>
                <w:szCs w:val="20"/>
                <w:u w:val="none"/>
                <w:lang w:val="en-US" w:eastAsia="zh-CN" w:bidi="ar"/>
              </w:rPr>
              <w:t>主课老师</w:t>
            </w:r>
          </w:p>
        </w:tc>
        <w:tc>
          <w:tcPr>
            <w:tcW w:w="3116" w:type="dxa"/>
            <w:vAlign w:val="center"/>
          </w:tcPr>
          <w:p w14:paraId="5B6B4CC5">
            <w:pPr>
              <w:keepNext w:val="0"/>
              <w:keepLines w:val="0"/>
              <w:widowControl/>
              <w:suppressLineNumbers w:val="0"/>
              <w:jc w:val="left"/>
              <w:textAlignment w:val="center"/>
              <w:rPr>
                <w:rFonts w:hint="default"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2"/>
                <w:szCs w:val="22"/>
                <w:u w:val="none"/>
                <w:lang w:val="en-US" w:eastAsia="zh-CN" w:bidi="ar"/>
              </w:rPr>
              <w:t>养老护理员技能培训，10天*7课时/场</w:t>
            </w:r>
          </w:p>
        </w:tc>
        <w:tc>
          <w:tcPr>
            <w:tcW w:w="627" w:type="dxa"/>
            <w:vAlign w:val="center"/>
          </w:tcPr>
          <w:p w14:paraId="30257C85">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2"/>
                <w:szCs w:val="22"/>
                <w:u w:val="none"/>
                <w:lang w:val="en-US" w:eastAsia="zh-CN" w:bidi="ar"/>
              </w:rPr>
              <w:t>70</w:t>
            </w:r>
          </w:p>
        </w:tc>
        <w:tc>
          <w:tcPr>
            <w:tcW w:w="695" w:type="dxa"/>
            <w:vAlign w:val="center"/>
          </w:tcPr>
          <w:p w14:paraId="154CD394">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2"/>
                <w:szCs w:val="22"/>
                <w:u w:val="none"/>
                <w:lang w:val="en-US" w:eastAsia="zh-CN" w:bidi="ar"/>
              </w:rPr>
              <w:t>学时</w:t>
            </w:r>
          </w:p>
        </w:tc>
        <w:tc>
          <w:tcPr>
            <w:tcW w:w="897" w:type="dxa"/>
            <w:vAlign w:val="center"/>
          </w:tcPr>
          <w:p w14:paraId="24D4DEA7">
            <w:pPr>
              <w:pStyle w:val="2"/>
              <w:rPr>
                <w:rFonts w:hint="eastAsia" w:ascii="仿宋_GB2312" w:hAnsi="仿宋_GB2312" w:eastAsia="仿宋_GB2312" w:cs="仿宋_GB2312"/>
                <w:sz w:val="32"/>
                <w:szCs w:val="32"/>
                <w:vertAlign w:val="baseline"/>
                <w:lang w:val="en-US" w:eastAsia="zh-CN"/>
              </w:rPr>
            </w:pPr>
          </w:p>
        </w:tc>
      </w:tr>
      <w:tr w14:paraId="08730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26" w:type="dxa"/>
            <w:vMerge w:val="continue"/>
            <w:vAlign w:val="center"/>
          </w:tcPr>
          <w:p w14:paraId="38FC9426">
            <w:pPr>
              <w:rPr>
                <w:rFonts w:hint="default"/>
                <w:lang w:val="en-US" w:eastAsia="zh-CN"/>
              </w:rPr>
            </w:pPr>
          </w:p>
        </w:tc>
        <w:tc>
          <w:tcPr>
            <w:tcW w:w="1222" w:type="dxa"/>
            <w:vMerge w:val="continue"/>
            <w:shd w:val="clear" w:color="auto" w:fill="auto"/>
            <w:vAlign w:val="center"/>
          </w:tcPr>
          <w:p w14:paraId="79555C1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p>
        </w:tc>
        <w:tc>
          <w:tcPr>
            <w:tcW w:w="1874" w:type="dxa"/>
            <w:shd w:val="clear" w:color="auto" w:fill="auto"/>
            <w:vAlign w:val="center"/>
          </w:tcPr>
          <w:p w14:paraId="10F10DD9">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宋体" w:hAnsi="宋体" w:eastAsia="宋体" w:cs="宋体"/>
                <w:i w:val="0"/>
                <w:iCs w:val="0"/>
                <w:color w:val="000000"/>
                <w:kern w:val="0"/>
                <w:sz w:val="20"/>
                <w:szCs w:val="20"/>
                <w:u w:val="none"/>
                <w:lang w:val="en-US" w:eastAsia="zh-CN" w:bidi="ar"/>
              </w:rPr>
              <w:t>助教</w:t>
            </w:r>
          </w:p>
        </w:tc>
        <w:tc>
          <w:tcPr>
            <w:tcW w:w="3116" w:type="dxa"/>
            <w:vAlign w:val="center"/>
          </w:tcPr>
          <w:p w14:paraId="26836E67">
            <w:pPr>
              <w:keepNext w:val="0"/>
              <w:keepLines w:val="0"/>
              <w:widowControl/>
              <w:suppressLineNumbers w:val="0"/>
              <w:jc w:val="left"/>
              <w:textAlignment w:val="center"/>
              <w:rPr>
                <w:rFonts w:hint="default"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2"/>
                <w:szCs w:val="22"/>
                <w:u w:val="none"/>
                <w:lang w:val="en-US" w:eastAsia="zh-CN" w:bidi="ar"/>
              </w:rPr>
              <w:t>养老护理员技能培训，10天</w:t>
            </w:r>
          </w:p>
        </w:tc>
        <w:tc>
          <w:tcPr>
            <w:tcW w:w="627" w:type="dxa"/>
            <w:vAlign w:val="center"/>
          </w:tcPr>
          <w:p w14:paraId="7F31F581">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2"/>
                <w:szCs w:val="22"/>
                <w:u w:val="none"/>
                <w:lang w:val="en-US" w:eastAsia="zh-CN" w:bidi="ar"/>
              </w:rPr>
              <w:t>10</w:t>
            </w:r>
          </w:p>
        </w:tc>
        <w:tc>
          <w:tcPr>
            <w:tcW w:w="695" w:type="dxa"/>
            <w:vAlign w:val="center"/>
          </w:tcPr>
          <w:p w14:paraId="386DA2A4">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2"/>
                <w:szCs w:val="22"/>
                <w:u w:val="none"/>
                <w:lang w:val="en-US" w:eastAsia="zh-CN" w:bidi="ar"/>
              </w:rPr>
              <w:t>人/场</w:t>
            </w:r>
          </w:p>
        </w:tc>
        <w:tc>
          <w:tcPr>
            <w:tcW w:w="897" w:type="dxa"/>
            <w:vAlign w:val="center"/>
          </w:tcPr>
          <w:p w14:paraId="2170C6ED">
            <w:pPr>
              <w:pStyle w:val="2"/>
              <w:rPr>
                <w:rFonts w:hint="eastAsia" w:ascii="仿宋_GB2312" w:hAnsi="仿宋_GB2312" w:eastAsia="仿宋_GB2312" w:cs="仿宋_GB2312"/>
                <w:sz w:val="32"/>
                <w:szCs w:val="32"/>
                <w:vertAlign w:val="baseline"/>
                <w:lang w:val="en-US" w:eastAsia="zh-CN"/>
              </w:rPr>
            </w:pPr>
          </w:p>
        </w:tc>
      </w:tr>
      <w:tr w14:paraId="0FF1F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26" w:type="dxa"/>
            <w:vMerge w:val="continue"/>
            <w:vAlign w:val="center"/>
          </w:tcPr>
          <w:p w14:paraId="71BCFD1B">
            <w:pPr>
              <w:rPr>
                <w:rFonts w:hint="default"/>
                <w:lang w:val="en-US" w:eastAsia="zh-CN"/>
              </w:rPr>
            </w:pPr>
          </w:p>
        </w:tc>
        <w:tc>
          <w:tcPr>
            <w:tcW w:w="1222" w:type="dxa"/>
            <w:vMerge w:val="continue"/>
            <w:shd w:val="clear" w:color="auto" w:fill="auto"/>
            <w:vAlign w:val="center"/>
          </w:tcPr>
          <w:p w14:paraId="1A1227A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p>
        </w:tc>
        <w:tc>
          <w:tcPr>
            <w:tcW w:w="1874" w:type="dxa"/>
            <w:shd w:val="clear" w:color="auto" w:fill="auto"/>
            <w:vAlign w:val="center"/>
          </w:tcPr>
          <w:p w14:paraId="1E336F59">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宋体" w:hAnsi="宋体" w:eastAsia="宋体" w:cs="宋体"/>
                <w:i w:val="0"/>
                <w:iCs w:val="0"/>
                <w:color w:val="000000"/>
                <w:kern w:val="0"/>
                <w:sz w:val="20"/>
                <w:szCs w:val="20"/>
                <w:u w:val="none"/>
                <w:lang w:val="en-US" w:eastAsia="zh-CN" w:bidi="ar"/>
              </w:rPr>
              <w:t>主课老师</w:t>
            </w:r>
          </w:p>
        </w:tc>
        <w:tc>
          <w:tcPr>
            <w:tcW w:w="3116" w:type="dxa"/>
            <w:vAlign w:val="center"/>
          </w:tcPr>
          <w:p w14:paraId="5B29AB60">
            <w:pPr>
              <w:keepNext w:val="0"/>
              <w:keepLines w:val="0"/>
              <w:widowControl/>
              <w:suppressLineNumbers w:val="0"/>
              <w:jc w:val="left"/>
              <w:textAlignment w:val="center"/>
              <w:rPr>
                <w:rFonts w:hint="default"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2"/>
                <w:szCs w:val="22"/>
                <w:u w:val="none"/>
                <w:lang w:val="en-US" w:eastAsia="zh-CN" w:bidi="ar"/>
              </w:rPr>
              <w:t>育婴员技能培训，10天*7课时/场</w:t>
            </w:r>
          </w:p>
        </w:tc>
        <w:tc>
          <w:tcPr>
            <w:tcW w:w="627" w:type="dxa"/>
            <w:vAlign w:val="center"/>
          </w:tcPr>
          <w:p w14:paraId="2DACD85C">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2"/>
                <w:szCs w:val="22"/>
                <w:u w:val="none"/>
                <w:lang w:val="en-US" w:eastAsia="zh-CN" w:bidi="ar"/>
              </w:rPr>
              <w:t>70</w:t>
            </w:r>
          </w:p>
        </w:tc>
        <w:tc>
          <w:tcPr>
            <w:tcW w:w="695" w:type="dxa"/>
            <w:vAlign w:val="center"/>
          </w:tcPr>
          <w:p w14:paraId="00BF6450">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2"/>
                <w:szCs w:val="22"/>
                <w:u w:val="none"/>
                <w:lang w:val="en-US" w:eastAsia="zh-CN" w:bidi="ar"/>
              </w:rPr>
              <w:t>学时</w:t>
            </w:r>
          </w:p>
        </w:tc>
        <w:tc>
          <w:tcPr>
            <w:tcW w:w="897" w:type="dxa"/>
            <w:vAlign w:val="center"/>
          </w:tcPr>
          <w:p w14:paraId="287A310E">
            <w:pPr>
              <w:pStyle w:val="2"/>
              <w:rPr>
                <w:rFonts w:hint="eastAsia" w:ascii="仿宋_GB2312" w:hAnsi="仿宋_GB2312" w:eastAsia="仿宋_GB2312" w:cs="仿宋_GB2312"/>
                <w:sz w:val="32"/>
                <w:szCs w:val="32"/>
                <w:vertAlign w:val="baseline"/>
                <w:lang w:val="en-US" w:eastAsia="zh-CN"/>
              </w:rPr>
            </w:pPr>
          </w:p>
        </w:tc>
      </w:tr>
      <w:tr w14:paraId="684C2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26" w:type="dxa"/>
            <w:vMerge w:val="continue"/>
            <w:vAlign w:val="center"/>
          </w:tcPr>
          <w:p w14:paraId="7D41E2A6">
            <w:pPr>
              <w:rPr>
                <w:rFonts w:hint="default"/>
                <w:lang w:val="en-US" w:eastAsia="zh-CN"/>
              </w:rPr>
            </w:pPr>
          </w:p>
        </w:tc>
        <w:tc>
          <w:tcPr>
            <w:tcW w:w="1222" w:type="dxa"/>
            <w:vMerge w:val="continue"/>
            <w:shd w:val="clear" w:color="auto" w:fill="auto"/>
            <w:vAlign w:val="center"/>
          </w:tcPr>
          <w:p w14:paraId="22AD48C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p>
        </w:tc>
        <w:tc>
          <w:tcPr>
            <w:tcW w:w="1874" w:type="dxa"/>
            <w:shd w:val="clear" w:color="auto" w:fill="auto"/>
            <w:vAlign w:val="center"/>
          </w:tcPr>
          <w:p w14:paraId="0191F166">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宋体" w:hAnsi="宋体" w:eastAsia="宋体" w:cs="宋体"/>
                <w:i w:val="0"/>
                <w:iCs w:val="0"/>
                <w:color w:val="000000"/>
                <w:kern w:val="0"/>
                <w:sz w:val="20"/>
                <w:szCs w:val="20"/>
                <w:u w:val="none"/>
                <w:lang w:val="en-US" w:eastAsia="zh-CN" w:bidi="ar"/>
              </w:rPr>
              <w:t>助教</w:t>
            </w:r>
          </w:p>
        </w:tc>
        <w:tc>
          <w:tcPr>
            <w:tcW w:w="3116" w:type="dxa"/>
            <w:vAlign w:val="center"/>
          </w:tcPr>
          <w:p w14:paraId="29406465">
            <w:pPr>
              <w:keepNext w:val="0"/>
              <w:keepLines w:val="0"/>
              <w:widowControl/>
              <w:suppressLineNumbers w:val="0"/>
              <w:jc w:val="left"/>
              <w:textAlignment w:val="center"/>
              <w:rPr>
                <w:rFonts w:hint="default"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2"/>
                <w:szCs w:val="22"/>
                <w:u w:val="none"/>
                <w:lang w:val="en-US" w:eastAsia="zh-CN" w:bidi="ar"/>
              </w:rPr>
              <w:t>育婴员技能培训，10天</w:t>
            </w:r>
          </w:p>
        </w:tc>
        <w:tc>
          <w:tcPr>
            <w:tcW w:w="627" w:type="dxa"/>
            <w:vAlign w:val="center"/>
          </w:tcPr>
          <w:p w14:paraId="52F6C462">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2"/>
                <w:szCs w:val="22"/>
                <w:u w:val="none"/>
                <w:lang w:val="en-US" w:eastAsia="zh-CN" w:bidi="ar"/>
              </w:rPr>
              <w:t>10</w:t>
            </w:r>
          </w:p>
        </w:tc>
        <w:tc>
          <w:tcPr>
            <w:tcW w:w="695" w:type="dxa"/>
            <w:vAlign w:val="center"/>
          </w:tcPr>
          <w:p w14:paraId="381B6D75">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2"/>
                <w:szCs w:val="22"/>
                <w:u w:val="none"/>
                <w:lang w:val="en-US" w:eastAsia="zh-CN" w:bidi="ar"/>
              </w:rPr>
              <w:t>人/场</w:t>
            </w:r>
          </w:p>
        </w:tc>
        <w:tc>
          <w:tcPr>
            <w:tcW w:w="897" w:type="dxa"/>
            <w:vAlign w:val="center"/>
          </w:tcPr>
          <w:p w14:paraId="775CC465">
            <w:pPr>
              <w:pStyle w:val="2"/>
              <w:rPr>
                <w:rFonts w:hint="eastAsia" w:ascii="仿宋_GB2312" w:hAnsi="仿宋_GB2312" w:eastAsia="仿宋_GB2312" w:cs="仿宋_GB2312"/>
                <w:sz w:val="32"/>
                <w:szCs w:val="32"/>
                <w:vertAlign w:val="baseline"/>
                <w:lang w:val="en-US" w:eastAsia="zh-CN"/>
              </w:rPr>
            </w:pPr>
          </w:p>
        </w:tc>
      </w:tr>
      <w:tr w14:paraId="540DD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26" w:type="dxa"/>
            <w:vMerge w:val="continue"/>
            <w:vAlign w:val="center"/>
          </w:tcPr>
          <w:p w14:paraId="4389D42C">
            <w:pPr>
              <w:rPr>
                <w:rFonts w:hint="default"/>
                <w:lang w:val="en-US" w:eastAsia="zh-CN"/>
              </w:rPr>
            </w:pPr>
          </w:p>
        </w:tc>
        <w:tc>
          <w:tcPr>
            <w:tcW w:w="1222" w:type="dxa"/>
            <w:vMerge w:val="continue"/>
            <w:shd w:val="clear" w:color="auto" w:fill="auto"/>
            <w:vAlign w:val="center"/>
          </w:tcPr>
          <w:p w14:paraId="15B699F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p>
        </w:tc>
        <w:tc>
          <w:tcPr>
            <w:tcW w:w="1874" w:type="dxa"/>
            <w:shd w:val="clear" w:color="auto" w:fill="auto"/>
            <w:vAlign w:val="center"/>
          </w:tcPr>
          <w:p w14:paraId="4DD446A3">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宋体" w:hAnsi="宋体" w:eastAsia="宋体" w:cs="宋体"/>
                <w:i w:val="0"/>
                <w:iCs w:val="0"/>
                <w:color w:val="000000"/>
                <w:kern w:val="0"/>
                <w:sz w:val="20"/>
                <w:szCs w:val="20"/>
                <w:u w:val="none"/>
                <w:lang w:val="en-US" w:eastAsia="zh-CN" w:bidi="ar"/>
              </w:rPr>
              <w:t>主课老师</w:t>
            </w:r>
          </w:p>
        </w:tc>
        <w:tc>
          <w:tcPr>
            <w:tcW w:w="3116" w:type="dxa"/>
            <w:vAlign w:val="center"/>
          </w:tcPr>
          <w:p w14:paraId="37763BFF">
            <w:pPr>
              <w:keepNext w:val="0"/>
              <w:keepLines w:val="0"/>
              <w:widowControl/>
              <w:suppressLineNumbers w:val="0"/>
              <w:jc w:val="left"/>
              <w:textAlignment w:val="center"/>
              <w:rPr>
                <w:rFonts w:hint="default"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2"/>
                <w:szCs w:val="22"/>
                <w:u w:val="none"/>
                <w:lang w:val="en-US" w:eastAsia="zh-CN" w:bidi="ar"/>
              </w:rPr>
              <w:t>母婴护理员技能培训10天*7课时/场</w:t>
            </w:r>
          </w:p>
        </w:tc>
        <w:tc>
          <w:tcPr>
            <w:tcW w:w="627" w:type="dxa"/>
            <w:vAlign w:val="center"/>
          </w:tcPr>
          <w:p w14:paraId="6637C61C">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2"/>
                <w:szCs w:val="22"/>
                <w:u w:val="none"/>
                <w:lang w:val="en-US" w:eastAsia="zh-CN" w:bidi="ar"/>
              </w:rPr>
              <w:t>70</w:t>
            </w:r>
          </w:p>
        </w:tc>
        <w:tc>
          <w:tcPr>
            <w:tcW w:w="695" w:type="dxa"/>
            <w:vAlign w:val="center"/>
          </w:tcPr>
          <w:p w14:paraId="62929579">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2"/>
                <w:szCs w:val="22"/>
                <w:u w:val="none"/>
                <w:lang w:val="en-US" w:eastAsia="zh-CN" w:bidi="ar"/>
              </w:rPr>
              <w:t>学时</w:t>
            </w:r>
          </w:p>
        </w:tc>
        <w:tc>
          <w:tcPr>
            <w:tcW w:w="897" w:type="dxa"/>
            <w:vAlign w:val="center"/>
          </w:tcPr>
          <w:p w14:paraId="24D11204">
            <w:pPr>
              <w:pStyle w:val="2"/>
              <w:rPr>
                <w:rFonts w:hint="eastAsia" w:ascii="仿宋_GB2312" w:hAnsi="仿宋_GB2312" w:eastAsia="仿宋_GB2312" w:cs="仿宋_GB2312"/>
                <w:sz w:val="32"/>
                <w:szCs w:val="32"/>
                <w:vertAlign w:val="baseline"/>
                <w:lang w:val="en-US" w:eastAsia="zh-CN"/>
              </w:rPr>
            </w:pPr>
          </w:p>
        </w:tc>
      </w:tr>
      <w:tr w14:paraId="2430D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626" w:type="dxa"/>
            <w:vMerge w:val="continue"/>
            <w:vAlign w:val="center"/>
          </w:tcPr>
          <w:p w14:paraId="15785B79">
            <w:pPr>
              <w:pStyle w:val="2"/>
              <w:rPr>
                <w:rFonts w:hint="eastAsia"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3AF4E74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p>
        </w:tc>
        <w:tc>
          <w:tcPr>
            <w:tcW w:w="1874" w:type="dxa"/>
            <w:shd w:val="clear" w:color="auto" w:fill="auto"/>
            <w:vAlign w:val="center"/>
          </w:tcPr>
          <w:p w14:paraId="692BD0B5">
            <w:pPr>
              <w:keepNext w:val="0"/>
              <w:keepLines w:val="0"/>
              <w:widowControl/>
              <w:suppressLineNumbers w:val="0"/>
              <w:jc w:val="left"/>
              <w:textAlignment w:val="center"/>
              <w:rPr>
                <w:rFonts w:hint="default" w:ascii="仿宋_GB2312" w:hAnsi="仿宋_GB2312" w:eastAsia="仿宋_GB2312" w:cs="仿宋_GB2312"/>
                <w:i w:val="0"/>
                <w:iCs w:val="0"/>
                <w:color w:val="000000"/>
                <w:kern w:val="2"/>
                <w:sz w:val="32"/>
                <w:szCs w:val="32"/>
                <w:u w:val="none"/>
                <w:lang w:val="en-US" w:eastAsia="zh-CN" w:bidi="ar-SA"/>
              </w:rPr>
            </w:pPr>
            <w:r>
              <w:rPr>
                <w:rFonts w:hint="eastAsia" w:ascii="宋体" w:hAnsi="宋体" w:eastAsia="宋体" w:cs="宋体"/>
                <w:i w:val="0"/>
                <w:iCs w:val="0"/>
                <w:color w:val="000000"/>
                <w:kern w:val="0"/>
                <w:sz w:val="20"/>
                <w:szCs w:val="20"/>
                <w:u w:val="none"/>
                <w:lang w:val="en-US" w:eastAsia="zh-CN" w:bidi="ar"/>
              </w:rPr>
              <w:t>助教</w:t>
            </w:r>
          </w:p>
        </w:tc>
        <w:tc>
          <w:tcPr>
            <w:tcW w:w="3116" w:type="dxa"/>
            <w:vAlign w:val="center"/>
          </w:tcPr>
          <w:p w14:paraId="494BEC77">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2"/>
                <w:szCs w:val="22"/>
                <w:u w:val="none"/>
                <w:lang w:val="en-US" w:eastAsia="zh-CN" w:bidi="ar"/>
              </w:rPr>
              <w:t>母婴护理员技能培训，10天</w:t>
            </w:r>
          </w:p>
        </w:tc>
        <w:tc>
          <w:tcPr>
            <w:tcW w:w="627" w:type="dxa"/>
            <w:vAlign w:val="center"/>
          </w:tcPr>
          <w:p w14:paraId="11BCA8FB">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2"/>
                <w:szCs w:val="22"/>
                <w:u w:val="none"/>
                <w:lang w:val="en-US" w:eastAsia="zh-CN" w:bidi="ar"/>
              </w:rPr>
              <w:t>10</w:t>
            </w:r>
          </w:p>
        </w:tc>
        <w:tc>
          <w:tcPr>
            <w:tcW w:w="695" w:type="dxa"/>
            <w:vAlign w:val="center"/>
          </w:tcPr>
          <w:p w14:paraId="7AEFACAE">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2"/>
                <w:szCs w:val="22"/>
                <w:u w:val="none"/>
                <w:lang w:val="en-US" w:eastAsia="zh-CN" w:bidi="ar"/>
              </w:rPr>
              <w:t>人/场</w:t>
            </w:r>
          </w:p>
        </w:tc>
        <w:tc>
          <w:tcPr>
            <w:tcW w:w="897" w:type="dxa"/>
            <w:vAlign w:val="center"/>
          </w:tcPr>
          <w:p w14:paraId="7D300319">
            <w:pPr>
              <w:pStyle w:val="2"/>
              <w:rPr>
                <w:rFonts w:hint="eastAsia" w:ascii="仿宋_GB2312" w:hAnsi="仿宋_GB2312" w:eastAsia="仿宋_GB2312" w:cs="仿宋_GB2312"/>
                <w:sz w:val="32"/>
                <w:szCs w:val="32"/>
                <w:vertAlign w:val="baseline"/>
                <w:lang w:val="en-US" w:eastAsia="zh-CN"/>
              </w:rPr>
            </w:pPr>
          </w:p>
        </w:tc>
      </w:tr>
      <w:tr w14:paraId="3285E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26" w:type="dxa"/>
            <w:vMerge w:val="restart"/>
            <w:vAlign w:val="center"/>
          </w:tcPr>
          <w:p w14:paraId="07F7097B">
            <w:pPr>
              <w:pStyle w:val="2"/>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w:t>
            </w:r>
          </w:p>
        </w:tc>
        <w:tc>
          <w:tcPr>
            <w:tcW w:w="1222" w:type="dxa"/>
            <w:vMerge w:val="restart"/>
            <w:shd w:val="clear" w:color="auto" w:fill="auto"/>
            <w:vAlign w:val="center"/>
          </w:tcPr>
          <w:p w14:paraId="29AAB1A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color w:val="auto"/>
                <w:spacing w:val="11"/>
                <w:sz w:val="32"/>
                <w:szCs w:val="32"/>
                <w:lang w:val="en-US" w:eastAsia="zh-CN"/>
              </w:rPr>
              <w:t>活动物资</w:t>
            </w:r>
          </w:p>
        </w:tc>
        <w:tc>
          <w:tcPr>
            <w:tcW w:w="1874" w:type="dxa"/>
            <w:shd w:val="clear" w:color="auto" w:fill="auto"/>
            <w:vAlign w:val="center"/>
          </w:tcPr>
          <w:p w14:paraId="465321CA">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宋体" w:hAnsi="宋体" w:eastAsia="宋体" w:cs="宋体"/>
                <w:i w:val="0"/>
                <w:iCs w:val="0"/>
                <w:color w:val="000000"/>
                <w:kern w:val="0"/>
                <w:sz w:val="20"/>
                <w:szCs w:val="20"/>
                <w:u w:val="none"/>
                <w:lang w:val="en-US" w:eastAsia="zh-CN" w:bidi="ar"/>
              </w:rPr>
              <w:t>定制横幅</w:t>
            </w:r>
          </w:p>
        </w:tc>
        <w:tc>
          <w:tcPr>
            <w:tcW w:w="3116" w:type="dxa"/>
            <w:vAlign w:val="center"/>
          </w:tcPr>
          <w:p w14:paraId="35509C7A">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4*0.6m</w:t>
            </w:r>
          </w:p>
        </w:tc>
        <w:tc>
          <w:tcPr>
            <w:tcW w:w="627" w:type="dxa"/>
            <w:vAlign w:val="center"/>
          </w:tcPr>
          <w:p w14:paraId="60D91913">
            <w:pPr>
              <w:keepNext w:val="0"/>
              <w:keepLines w:val="0"/>
              <w:widowControl/>
              <w:suppressLineNumbers w:val="0"/>
              <w:jc w:val="center"/>
              <w:textAlignment w:val="center"/>
              <w:rPr>
                <w:rFonts w:hint="default"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695" w:type="dxa"/>
            <w:vAlign w:val="center"/>
          </w:tcPr>
          <w:p w14:paraId="6CEC28B0">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条</w:t>
            </w:r>
          </w:p>
        </w:tc>
        <w:tc>
          <w:tcPr>
            <w:tcW w:w="897" w:type="dxa"/>
            <w:vAlign w:val="center"/>
          </w:tcPr>
          <w:p w14:paraId="36C279B7">
            <w:pPr>
              <w:pStyle w:val="2"/>
              <w:rPr>
                <w:rFonts w:hint="eastAsia" w:ascii="仿宋_GB2312" w:hAnsi="仿宋_GB2312" w:eastAsia="仿宋_GB2312" w:cs="仿宋_GB2312"/>
                <w:sz w:val="32"/>
                <w:szCs w:val="32"/>
                <w:vertAlign w:val="baseline"/>
                <w:lang w:val="en-US" w:eastAsia="zh-CN"/>
              </w:rPr>
            </w:pPr>
          </w:p>
        </w:tc>
      </w:tr>
      <w:tr w14:paraId="563BC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26" w:type="dxa"/>
            <w:vMerge w:val="continue"/>
            <w:vAlign w:val="center"/>
          </w:tcPr>
          <w:p w14:paraId="30748B08">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610B796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58894855">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宋体" w:hAnsi="宋体" w:eastAsia="宋体" w:cs="宋体"/>
                <w:i w:val="0"/>
                <w:iCs w:val="0"/>
                <w:color w:val="000000"/>
                <w:kern w:val="0"/>
                <w:sz w:val="20"/>
                <w:szCs w:val="20"/>
                <w:u w:val="none"/>
                <w:lang w:val="en-US" w:eastAsia="zh-CN" w:bidi="ar"/>
              </w:rPr>
              <w:t>养老护理员技能培训模块：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教学设备租赁费用+耗材（各7套）（租赁）</w:t>
            </w:r>
          </w:p>
        </w:tc>
        <w:tc>
          <w:tcPr>
            <w:tcW w:w="3116" w:type="dxa"/>
            <w:vAlign w:val="center"/>
          </w:tcPr>
          <w:p w14:paraId="5A70A10C">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 xml:space="preserve">租赁：医疗床（加厚2*1.2m）、人体模型（多功能人体模型1.7m）、心肺复苏模拟人模型（半身）、轮椅（可折叠）、护理车（参考医院多功能仪器小推车 YY-2132）、助行器（框式助行器、四脚移动拐杖 助步器助走器）、单行拐杖（ 老人拐杖 四脚 拐棍 助行器 铝合金可伸缩带灯调节手杖S02YBZ）、吸氧器（ 2L升制氧机）、电动吸痰器（便携式吸痰器）、手动吸氧器（哈斯福 手动吸痰器吸痰器+2支软管（成人用））、床上用品四件套、假牙模型（ 2倍牙齿模型15*9*12CM）、电子血压计（电子血压计）、手动血压计（水银血压计家用血压仪听诊器医用保健盒）、血糖仪（血糖测试仪596 糖尿病家用精准全自动易准测血糖仪器）、胰岛素注射仪、水银温度计、电子温度计、不锈钢弯盘/消毒盘(21.3*15.3CM)、便盆医院用大小便器内凹式护理便盆（32*25*7.2CM）、弯和直血钳（20CM）、收纳教具一批、营养餐制作工具一批等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消耗耗材：血糖试纸（  50片/盒）、一次性酒精棉片（ 100片/盒 6*6cm）、 伤口消毒包扎纱布（护理8CM*10CM 125片）、绷带（医用纱布绷带 透气伤口包扎纱布 10*600cm*10卷装）、胃管包（鼻饲管医用 胃管进食器 无菌独立包装 胃肠减压10支装 F26(8.7mm)）、纸尿裤(20片/包)、褥垫（60片/包）、医用棉签100支/包、大棉签（20支/包）、碘伏（50mL）、酒精(500mL)、洗手液一批等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收纳教具：植绒衣架和铁和塑料衣架（各20个）、收纳盒（大中小各3个）、可折叠收纳箱（66L）、塑料收纳箱（大中小各2个）色卡（色卡216色）、男女上衣（衬衣和T恤），男女裤子（西裤和牛仔裤）、袜子、男女内衣裤、女士裙子、大衣、毛衣、羽绒服、毛刷、白布、手套、可收纳布衣柜（2m*1.2m*0.6m）、熨斗(2000W)、挂烫机、熨烫板等工具一批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收纳耗材：一次性手套（200个//盒）、一次性布手套（20套/盒）、维达抽纸（120抽/包，8包/提，4提）</w:t>
            </w:r>
          </w:p>
        </w:tc>
        <w:tc>
          <w:tcPr>
            <w:tcW w:w="627" w:type="dxa"/>
            <w:vAlign w:val="center"/>
          </w:tcPr>
          <w:p w14:paraId="3F50A0A5">
            <w:pPr>
              <w:keepNext w:val="0"/>
              <w:keepLines w:val="0"/>
              <w:widowControl/>
              <w:suppressLineNumbers w:val="0"/>
              <w:jc w:val="center"/>
              <w:textAlignment w:val="center"/>
              <w:rPr>
                <w:rFonts w:hint="default"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10</w:t>
            </w:r>
          </w:p>
        </w:tc>
        <w:tc>
          <w:tcPr>
            <w:tcW w:w="695" w:type="dxa"/>
            <w:vAlign w:val="center"/>
          </w:tcPr>
          <w:p w14:paraId="02E7F7F1">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场</w:t>
            </w:r>
          </w:p>
        </w:tc>
        <w:tc>
          <w:tcPr>
            <w:tcW w:w="897" w:type="dxa"/>
            <w:vAlign w:val="center"/>
          </w:tcPr>
          <w:p w14:paraId="0BBFF55B">
            <w:pPr>
              <w:pStyle w:val="2"/>
              <w:rPr>
                <w:rFonts w:hint="eastAsia" w:ascii="仿宋_GB2312" w:hAnsi="仿宋_GB2312" w:eastAsia="仿宋_GB2312" w:cs="仿宋_GB2312"/>
                <w:sz w:val="32"/>
                <w:szCs w:val="32"/>
                <w:vertAlign w:val="baseline"/>
                <w:lang w:val="en-US" w:eastAsia="zh-CN"/>
              </w:rPr>
            </w:pPr>
          </w:p>
        </w:tc>
      </w:tr>
      <w:tr w14:paraId="3D7B6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26" w:type="dxa"/>
            <w:vMerge w:val="continue"/>
            <w:vAlign w:val="center"/>
          </w:tcPr>
          <w:p w14:paraId="6D33B6EF">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24624DB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0294310B">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宋体" w:hAnsi="宋体" w:eastAsia="宋体" w:cs="宋体"/>
                <w:i w:val="0"/>
                <w:iCs w:val="0"/>
                <w:color w:val="000000"/>
                <w:kern w:val="0"/>
                <w:sz w:val="20"/>
                <w:szCs w:val="20"/>
                <w:u w:val="none"/>
                <w:lang w:val="en-US" w:eastAsia="zh-CN" w:bidi="ar"/>
              </w:rPr>
              <w:t>养老护理员技能培训模块：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营养餐原材料</w:t>
            </w:r>
          </w:p>
        </w:tc>
        <w:tc>
          <w:tcPr>
            <w:tcW w:w="3116" w:type="dxa"/>
            <w:vAlign w:val="center"/>
          </w:tcPr>
          <w:p w14:paraId="186B544A">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猪肉（8斤）、牛肉（4斤）、鸡肉（4斤）、鱼（10斤、8条）、虾（8斤）、鸡蛋（60个）、面粉（10斤/包、3包）、芹菜（5斤）韭菜（5斤）、大米（4斤）、小米（4斤）、小葱（2斤）、大蒜（1斤）、生姜（2斤）、鲁花花生油（5kg/瓶、1瓶）配料、油盐酱油、鸡精等调料</w:t>
            </w:r>
          </w:p>
        </w:tc>
        <w:tc>
          <w:tcPr>
            <w:tcW w:w="627" w:type="dxa"/>
            <w:vAlign w:val="center"/>
          </w:tcPr>
          <w:p w14:paraId="76220B11">
            <w:pPr>
              <w:keepNext w:val="0"/>
              <w:keepLines w:val="0"/>
              <w:widowControl/>
              <w:suppressLineNumbers w:val="0"/>
              <w:jc w:val="center"/>
              <w:textAlignment w:val="center"/>
              <w:rPr>
                <w:rFonts w:hint="default"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695" w:type="dxa"/>
            <w:vAlign w:val="center"/>
          </w:tcPr>
          <w:p w14:paraId="42373364">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场</w:t>
            </w:r>
          </w:p>
        </w:tc>
        <w:tc>
          <w:tcPr>
            <w:tcW w:w="897" w:type="dxa"/>
            <w:vAlign w:val="center"/>
          </w:tcPr>
          <w:p w14:paraId="2D5A02E0">
            <w:pPr>
              <w:pStyle w:val="2"/>
              <w:rPr>
                <w:rFonts w:hint="eastAsia" w:ascii="仿宋_GB2312" w:hAnsi="仿宋_GB2312" w:eastAsia="仿宋_GB2312" w:cs="仿宋_GB2312"/>
                <w:sz w:val="32"/>
                <w:szCs w:val="32"/>
                <w:vertAlign w:val="baseline"/>
                <w:lang w:val="en-US" w:eastAsia="zh-CN"/>
              </w:rPr>
            </w:pPr>
          </w:p>
        </w:tc>
      </w:tr>
      <w:tr w14:paraId="44AFA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26" w:type="dxa"/>
            <w:vMerge w:val="continue"/>
            <w:vAlign w:val="center"/>
          </w:tcPr>
          <w:p w14:paraId="0918F09D">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7CAAC69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3A92AD45">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宋体" w:hAnsi="宋体" w:eastAsia="宋体" w:cs="宋体"/>
                <w:i w:val="0"/>
                <w:iCs w:val="0"/>
                <w:color w:val="000000"/>
                <w:kern w:val="0"/>
                <w:sz w:val="20"/>
                <w:szCs w:val="20"/>
                <w:u w:val="none"/>
                <w:lang w:val="en-US" w:eastAsia="zh-CN" w:bidi="ar"/>
              </w:rPr>
              <w:t>养老护理员技能培训模块：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教材材料书本</w:t>
            </w:r>
          </w:p>
        </w:tc>
        <w:tc>
          <w:tcPr>
            <w:tcW w:w="3116" w:type="dxa"/>
            <w:vAlign w:val="center"/>
          </w:tcPr>
          <w:p w14:paraId="67EE0BA9">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 xml:space="preserve">教材：养老护理员培训教材中国工人出版社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规格：710mm*1000mm</w:t>
            </w:r>
          </w:p>
        </w:tc>
        <w:tc>
          <w:tcPr>
            <w:tcW w:w="627" w:type="dxa"/>
            <w:vAlign w:val="center"/>
          </w:tcPr>
          <w:p w14:paraId="47C80595">
            <w:pPr>
              <w:keepNext w:val="0"/>
              <w:keepLines w:val="0"/>
              <w:widowControl/>
              <w:suppressLineNumbers w:val="0"/>
              <w:jc w:val="center"/>
              <w:textAlignment w:val="center"/>
              <w:rPr>
                <w:rFonts w:hint="default"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35</w:t>
            </w:r>
          </w:p>
        </w:tc>
        <w:tc>
          <w:tcPr>
            <w:tcW w:w="695" w:type="dxa"/>
            <w:vAlign w:val="center"/>
          </w:tcPr>
          <w:p w14:paraId="69FEFAB0">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本</w:t>
            </w:r>
          </w:p>
        </w:tc>
        <w:tc>
          <w:tcPr>
            <w:tcW w:w="897" w:type="dxa"/>
            <w:vAlign w:val="center"/>
          </w:tcPr>
          <w:p w14:paraId="4814FF7D">
            <w:pPr>
              <w:pStyle w:val="2"/>
              <w:rPr>
                <w:rFonts w:hint="eastAsia" w:ascii="仿宋_GB2312" w:hAnsi="仿宋_GB2312" w:eastAsia="仿宋_GB2312" w:cs="仿宋_GB2312"/>
                <w:sz w:val="32"/>
                <w:szCs w:val="32"/>
                <w:vertAlign w:val="baseline"/>
                <w:lang w:val="en-US" w:eastAsia="zh-CN"/>
              </w:rPr>
            </w:pPr>
          </w:p>
        </w:tc>
      </w:tr>
      <w:tr w14:paraId="4C674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26" w:type="dxa"/>
            <w:vMerge w:val="continue"/>
            <w:vAlign w:val="center"/>
          </w:tcPr>
          <w:p w14:paraId="790D0DFD">
            <w:pPr>
              <w:pStyle w:val="2"/>
              <w:rPr>
                <w:rFonts w:hint="default" w:ascii="仿宋_GB2312" w:hAnsi="仿宋_GB2312" w:eastAsia="仿宋_GB2312" w:cs="仿宋_GB2312"/>
                <w:sz w:val="32"/>
                <w:szCs w:val="32"/>
                <w:vertAlign w:val="baseline"/>
                <w:lang w:val="en-US" w:eastAsia="zh-CN"/>
              </w:rPr>
            </w:pPr>
          </w:p>
        </w:tc>
        <w:tc>
          <w:tcPr>
            <w:tcW w:w="1222" w:type="dxa"/>
            <w:vMerge w:val="continue"/>
            <w:vAlign w:val="center"/>
          </w:tcPr>
          <w:p w14:paraId="64614EEF">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p>
        </w:tc>
        <w:tc>
          <w:tcPr>
            <w:tcW w:w="1874" w:type="dxa"/>
            <w:shd w:val="clear" w:color="auto" w:fill="auto"/>
            <w:vAlign w:val="center"/>
          </w:tcPr>
          <w:p w14:paraId="1C2EBCC0">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宋体" w:hAnsi="宋体" w:eastAsia="宋体" w:cs="宋体"/>
                <w:i w:val="0"/>
                <w:iCs w:val="0"/>
                <w:color w:val="000000"/>
                <w:kern w:val="0"/>
                <w:sz w:val="20"/>
                <w:szCs w:val="20"/>
                <w:u w:val="none"/>
                <w:lang w:val="en-US" w:eastAsia="zh-CN" w:bidi="ar"/>
              </w:rPr>
              <w:t>育婴员技能培训模块：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教学设备租赁费用+耗材（各7套）（租赁）</w:t>
            </w:r>
          </w:p>
        </w:tc>
        <w:tc>
          <w:tcPr>
            <w:tcW w:w="3116" w:type="dxa"/>
            <w:vAlign w:val="center"/>
          </w:tcPr>
          <w:p w14:paraId="6639350D">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 xml:space="preserve">租赁：教学用娃娃（全身橡胶款(男) (不带衣服) 50厘米）、 奶瓶（3-6个月奶瓶AA75+6个月以上奶瓶AA94）、奶瓶刷（奶瓶奶嘴刷套组 PL156+EA08）、奶瓶消毒器（奶瓶消毒器带烘干HL-0681）、奶瓶夹（ 奶瓶夹EA07）、奶瓶晾干架（奶瓶晾干架）、手动吸奶器（ 手动吸奶器QA55（手动）、电动吸奶器（电动吸奶器QA56）、润肤油/婴儿油（ 婴儿润肤油IA156）、硅胶假乳房（、恒温器（恒温器 QZ-XD12）、 包被（ 春夏薄款90x90cm ）、 新生儿衣服（ 婴儿连体服新生儿衣服短款礼盒2件装0-3个月纯棉水洗纱布宝宝服 2件/盒 蓝色+白色-66/44）、澡盆（80*49*21CM）、二合一洗发水儿童沐浴露（251mL）、盆子（婴儿盆宝宝洗脸盆塑料盆PP盆大中小）、小凳子（小凳子加厚防滑）、水温计（婴儿洗澡水温计 新生儿水温度计 防破裂防爆 精准感温 3709）、 水银体温计（大刻度玻璃水银体温表 三角式腋下腋下式）、水勺（参考日康水勺RK-8011）、 婴儿挖耳勺+耳镊+指甲钳、肚脐防水贴（婴儿洗澡贴 20片护脐贴）、护臀霜（ 婴儿护臀膏 新生儿护臀膏 屁屁霜 35g IA149）、大浴巾（100*120CM）、洗澡桶（ 洗澡桶24L、） 软尺（2m）、婴儿手指套牙刷 （ 婴幼儿童硅胶软毛宝宝乳牙刷0-3岁）、坐便器（儿童马桶31*34*26.5CM）、磨牙棒（咬咬乐 婴儿牙胶磨牙棒）、圆柱体、辅食盘碗勺（儿童餐具）、幼儿串珠（1-2岁精细动作儿童串珠玩具）、折纸（A4手工纸）小剪刀（手工）、橡皮泥（24色/包）学饮杯（260ml粉色SCF753/32）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消耗耗材：储奶袋袋（装200ml/30片奶粉）、产褥垫（60x90 20片/包）、酒精（ 酒精（75度）100毫升*5瓶）、碘伏（ 50毫升*5瓶）、 医用棉签（10cm*50支 一次性单头皮肤消毒大头木棉棒掏耳）、毛巾（洗面巾）、小方巾（ 婴儿纯棉纱布小方巾34*50CM）、纸尿裤（ 新生儿纸尿裤SML96片）、大头棉签棒（ 20CM100支 ）、婴儿口腔清洁器（50支/包 ）、湿纸巾（婴儿湿巾90抽/包）、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收纳教具：植绒衣架和铁和塑料衣架（各20个）、收纳盒（大中小各3个）、可折叠收纳箱（66L）、塑料收纳箱（大中小各2个）色卡（色卡216色）、男女上衣（衬衣和T恤），男女裤子（西裤和牛仔裤）、袜子、男女内衣裤、女士裙子、大衣、毛衣、羽绒服、毛刷、白布、手套、可收纳布衣柜（2m*1.2m*0.6m）、熨斗(2000W)、挂烫机、熨烫板等工具一批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收纳耗材：一次性手套（200个//盒）、一次性布手套（20套/盒）、抽纸（120抽/包，8包/提，4提）</w:t>
            </w:r>
          </w:p>
        </w:tc>
        <w:tc>
          <w:tcPr>
            <w:tcW w:w="627" w:type="dxa"/>
            <w:vAlign w:val="center"/>
          </w:tcPr>
          <w:p w14:paraId="6C3A47A4">
            <w:pPr>
              <w:keepNext w:val="0"/>
              <w:keepLines w:val="0"/>
              <w:widowControl/>
              <w:suppressLineNumbers w:val="0"/>
              <w:jc w:val="center"/>
              <w:textAlignment w:val="center"/>
              <w:rPr>
                <w:rFonts w:hint="default"/>
                <w:lang w:val="en-US" w:eastAsia="zh-CN"/>
              </w:rPr>
            </w:pPr>
            <w:r>
              <w:rPr>
                <w:rFonts w:hint="eastAsia" w:ascii="宋体" w:hAnsi="宋体" w:eastAsia="宋体" w:cs="宋体"/>
                <w:i w:val="0"/>
                <w:iCs w:val="0"/>
                <w:color w:val="000000"/>
                <w:kern w:val="0"/>
                <w:sz w:val="20"/>
                <w:szCs w:val="20"/>
                <w:u w:val="none"/>
                <w:lang w:val="en-US" w:eastAsia="zh-CN" w:bidi="ar"/>
              </w:rPr>
              <w:t>10</w:t>
            </w:r>
          </w:p>
        </w:tc>
        <w:tc>
          <w:tcPr>
            <w:tcW w:w="695" w:type="dxa"/>
            <w:vAlign w:val="center"/>
          </w:tcPr>
          <w:p w14:paraId="6A9266C7">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场</w:t>
            </w:r>
          </w:p>
        </w:tc>
        <w:tc>
          <w:tcPr>
            <w:tcW w:w="897" w:type="dxa"/>
            <w:vAlign w:val="center"/>
          </w:tcPr>
          <w:p w14:paraId="7D88F2EA">
            <w:pPr>
              <w:pStyle w:val="2"/>
              <w:rPr>
                <w:rFonts w:hint="eastAsia" w:ascii="仿宋_GB2312" w:hAnsi="仿宋_GB2312" w:eastAsia="仿宋_GB2312" w:cs="仿宋_GB2312"/>
                <w:sz w:val="32"/>
                <w:szCs w:val="32"/>
                <w:vertAlign w:val="baseline"/>
                <w:lang w:val="en-US" w:eastAsia="zh-CN"/>
              </w:rPr>
            </w:pPr>
          </w:p>
        </w:tc>
      </w:tr>
      <w:tr w14:paraId="47901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26" w:type="dxa"/>
            <w:vMerge w:val="continue"/>
            <w:vAlign w:val="center"/>
          </w:tcPr>
          <w:p w14:paraId="023F17F8">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2D9F94A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695F7DBF">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宋体" w:hAnsi="宋体" w:eastAsia="宋体" w:cs="宋体"/>
                <w:i w:val="0"/>
                <w:iCs w:val="0"/>
                <w:color w:val="000000"/>
                <w:kern w:val="0"/>
                <w:sz w:val="20"/>
                <w:szCs w:val="20"/>
                <w:u w:val="none"/>
                <w:lang w:val="en-US" w:eastAsia="zh-CN" w:bidi="ar"/>
              </w:rPr>
              <w:t>育婴员技能培训模块：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儿童辅食营养餐原材料</w:t>
            </w:r>
          </w:p>
        </w:tc>
        <w:tc>
          <w:tcPr>
            <w:tcW w:w="3116" w:type="dxa"/>
            <w:shd w:val="clear" w:color="auto" w:fill="auto"/>
            <w:vAlign w:val="center"/>
          </w:tcPr>
          <w:p w14:paraId="1FC58939">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猪肉（8斤）、牛肉（4斤）、鸡肉（4斤）、鱼（10斤、8条）、虾（8斤）、鸡蛋（60个）、面粉（10斤/包、3包）、芹菜（5斤）韭菜（5斤）、大米（4斤）、小米（4斤）、小葱（2斤）、大蒜（1斤）、生姜（2斤）、鲁花花生油（5kg/瓶、1瓶）配料、油盐酱油、鸡精等调料</w:t>
            </w:r>
          </w:p>
        </w:tc>
        <w:tc>
          <w:tcPr>
            <w:tcW w:w="627" w:type="dxa"/>
            <w:shd w:val="clear" w:color="auto" w:fill="auto"/>
            <w:vAlign w:val="center"/>
          </w:tcPr>
          <w:p w14:paraId="5903D3E5">
            <w:pPr>
              <w:keepNext w:val="0"/>
              <w:keepLines w:val="0"/>
              <w:widowControl/>
              <w:suppressLineNumbers w:val="0"/>
              <w:jc w:val="center"/>
              <w:textAlignment w:val="center"/>
              <w:rPr>
                <w:rFonts w:hint="default" w:ascii="Calibri" w:hAnsi="Calibri" w:eastAsia="黑体" w:cs="Times New Roman"/>
                <w:bCs/>
                <w:kern w:val="2"/>
                <w:sz w:val="44"/>
                <w:szCs w:val="44"/>
                <w:lang w:val="en-US" w:eastAsia="zh-CN" w:bidi="ar-SA"/>
              </w:rPr>
            </w:pPr>
            <w:r>
              <w:rPr>
                <w:rFonts w:hint="eastAsia" w:ascii="宋体" w:hAnsi="宋体" w:eastAsia="宋体" w:cs="宋体"/>
                <w:i w:val="0"/>
                <w:iCs w:val="0"/>
                <w:color w:val="000000"/>
                <w:kern w:val="0"/>
                <w:sz w:val="20"/>
                <w:szCs w:val="20"/>
                <w:u w:val="none"/>
                <w:lang w:val="en-US" w:eastAsia="zh-CN" w:bidi="ar"/>
              </w:rPr>
              <w:t>1</w:t>
            </w:r>
          </w:p>
        </w:tc>
        <w:tc>
          <w:tcPr>
            <w:tcW w:w="695" w:type="dxa"/>
            <w:shd w:val="clear" w:color="auto" w:fill="auto"/>
            <w:vAlign w:val="center"/>
          </w:tcPr>
          <w:p w14:paraId="63B343F9">
            <w:pPr>
              <w:keepNext w:val="0"/>
              <w:keepLines w:val="0"/>
              <w:widowControl/>
              <w:suppressLineNumbers w:val="0"/>
              <w:jc w:val="center"/>
              <w:textAlignment w:val="center"/>
              <w:rPr>
                <w:rFonts w:hint="eastAsia" w:ascii="仿宋_GB2312" w:hAnsi="仿宋_GB2312" w:eastAsia="仿宋_GB2312" w:cs="仿宋_GB2312"/>
                <w:bCs/>
                <w:kern w:val="2"/>
                <w:sz w:val="32"/>
                <w:szCs w:val="32"/>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场</w:t>
            </w:r>
          </w:p>
        </w:tc>
        <w:tc>
          <w:tcPr>
            <w:tcW w:w="897" w:type="dxa"/>
            <w:vAlign w:val="center"/>
          </w:tcPr>
          <w:p w14:paraId="684DE2F5">
            <w:pPr>
              <w:pStyle w:val="2"/>
              <w:rPr>
                <w:rFonts w:hint="eastAsia" w:ascii="仿宋_GB2312" w:hAnsi="仿宋_GB2312" w:eastAsia="仿宋_GB2312" w:cs="仿宋_GB2312"/>
                <w:sz w:val="32"/>
                <w:szCs w:val="32"/>
                <w:vertAlign w:val="baseline"/>
                <w:lang w:val="en-US" w:eastAsia="zh-CN"/>
              </w:rPr>
            </w:pPr>
          </w:p>
        </w:tc>
      </w:tr>
      <w:tr w14:paraId="6E9D7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6E23F425">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2139288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3A1D06E6">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宋体" w:hAnsi="宋体" w:eastAsia="宋体" w:cs="宋体"/>
                <w:i w:val="0"/>
                <w:iCs w:val="0"/>
                <w:color w:val="000000"/>
                <w:kern w:val="0"/>
                <w:sz w:val="20"/>
                <w:szCs w:val="20"/>
                <w:u w:val="none"/>
                <w:lang w:val="en-US" w:eastAsia="zh-CN" w:bidi="ar"/>
              </w:rPr>
              <w:t>育婴员技能培训模块：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教材材料书本</w:t>
            </w:r>
          </w:p>
        </w:tc>
        <w:tc>
          <w:tcPr>
            <w:tcW w:w="3116" w:type="dxa"/>
            <w:vAlign w:val="center"/>
          </w:tcPr>
          <w:p w14:paraId="7E1AA329">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 xml:space="preserve">教材：育婴员培训教材中国工人出版社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规格：710mm*1000mm</w:t>
            </w:r>
          </w:p>
        </w:tc>
        <w:tc>
          <w:tcPr>
            <w:tcW w:w="627" w:type="dxa"/>
            <w:vAlign w:val="center"/>
          </w:tcPr>
          <w:p w14:paraId="67ED7ED4">
            <w:pPr>
              <w:keepNext w:val="0"/>
              <w:keepLines w:val="0"/>
              <w:widowControl/>
              <w:suppressLineNumbers w:val="0"/>
              <w:jc w:val="center"/>
              <w:textAlignment w:val="center"/>
              <w:rPr>
                <w:rFonts w:hint="default"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35</w:t>
            </w:r>
          </w:p>
        </w:tc>
        <w:tc>
          <w:tcPr>
            <w:tcW w:w="695" w:type="dxa"/>
            <w:vAlign w:val="center"/>
          </w:tcPr>
          <w:p w14:paraId="63D5C10E">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本</w:t>
            </w:r>
          </w:p>
        </w:tc>
        <w:tc>
          <w:tcPr>
            <w:tcW w:w="897" w:type="dxa"/>
            <w:vAlign w:val="center"/>
          </w:tcPr>
          <w:p w14:paraId="094693D0">
            <w:pPr>
              <w:pStyle w:val="2"/>
              <w:rPr>
                <w:rFonts w:hint="eastAsia" w:ascii="仿宋_GB2312" w:hAnsi="仿宋_GB2312" w:eastAsia="仿宋_GB2312" w:cs="仿宋_GB2312"/>
                <w:sz w:val="32"/>
                <w:szCs w:val="32"/>
                <w:vertAlign w:val="baseline"/>
                <w:lang w:val="en-US" w:eastAsia="zh-CN"/>
              </w:rPr>
            </w:pPr>
          </w:p>
        </w:tc>
      </w:tr>
      <w:tr w14:paraId="526D3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1823CC1B">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35DFF17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583B7952">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宋体" w:hAnsi="宋体" w:eastAsia="宋体" w:cs="宋体"/>
                <w:i w:val="0"/>
                <w:iCs w:val="0"/>
                <w:color w:val="000000"/>
                <w:kern w:val="0"/>
                <w:sz w:val="20"/>
                <w:szCs w:val="20"/>
                <w:u w:val="none"/>
                <w:lang w:val="en-US" w:eastAsia="zh-CN" w:bidi="ar"/>
              </w:rPr>
              <w:t>母婴护理员技能培训模块：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教学设备租赁费用+耗材（各7套）（租赁）</w:t>
            </w:r>
          </w:p>
        </w:tc>
        <w:tc>
          <w:tcPr>
            <w:tcW w:w="3116" w:type="dxa"/>
            <w:vAlign w:val="center"/>
          </w:tcPr>
          <w:p w14:paraId="1C2074EE">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 xml:space="preserve">租赁：医疗床（加厚2*1.2m）、人体模型（多功能人体模型1.7m）、心肺复苏模拟人模型（半身）、轮椅可折叠、护理车（参考医院多功能仪器小推车 YY-2132）、教学用娃娃（全身橡胶款(男) (不带衣服) 50厘米）、 奶瓶（新生儿奶瓶3-6个月奶瓶5+6个月以上奶瓶）、奶瓶刷（奶瓶奶嘴刷套组 ）、奶瓶消毒器（ 奶瓶消毒器带烘干）、奶瓶夹（奶瓶夹）、奶瓶晾干架（奶瓶晾干架）、手动吸奶器（手动吸奶器（手动）、电动吸奶器（电动吸奶器）、润肤油/婴儿油（婴儿润肤油、硅胶假乳房（催乳师培训道具）、恒温器（ 恒温器）、 包被（ 春夏薄款90x90cm ）、 新生儿衣服（婴儿连体服新生儿衣服短款礼盒2件装0-3个月纯棉水洗纱布宝宝服 2件/盒 蓝色+白色-66/44）、澡盆（婴儿洗澡盆浴盆宝宝可折叠幼儿坐躺大号浴桶小孩家用新生儿童用品 珊瑚粉+浴网 80*49*21CM）、二合一洗发水儿童沐浴露（金盏花洗发沐浴二合一 251mL）、盆子（婴儿盆宝宝洗脸盆塑料盆PP盆大中小）、小凳子（小凳子加厚防滑）、水温计（婴儿洗澡水温计 新生儿水温度计 防破裂防爆 精准感温 3709）、 水银体温计、水勺、 婴儿挖耳勺+耳镊+指甲钳（、肚脐防水贴（婴儿洗澡贴 20片护脐贴）、护臀霜（婴儿护臀膏 新生儿护臀膏 屁屁霜 35g IA149）、大浴巾（100*120CM）、、洗澡桶（洗澡桶24L、） 软尺（2m）、摇铃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消耗耗材：储奶袋袋（ 装200ml/30片奶粉）、产褥垫（60x90 20片/包）、酒精（ 酒精（75度）100毫升*5瓶）、碘伏（ 50毫升*5瓶）、 医用棉签（ 10cm*50支 一次性单头皮肤消毒大头木棉棒掏耳）、毛巾（洗面巾）、小方巾（ 34*50CM）、纸尿裤（新生儿纸尿裤NB96片）、大头棉签棒（ 20CM100支 ）、婴儿口腔清洁器（50支/包 ）、湿纸巾（婴儿湿巾90抽/包）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收纳教具：植绒衣架和铁和塑料衣架（各20个）、收纳盒（大中小各3个）、可折叠收纳箱（66L）、塑料收纳箱（大中小各2个）色卡（色卡216色）、男女上衣（衬衣和T恤），男女裤子（西裤和牛仔裤）、袜子、男女内衣裤、女士裙子、大衣、毛衣、羽绒服、毛刷、白布、手套、可收纳布衣柜（2m*1.2m*0.6m）、熨斗(2000W)、挂烫机（小档）、熨烫板等工具一批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收纳耗材：一次性手套（200个//盒）、一次性布手套（20套/盒）、抽纸（120抽/包，8包/提，4提）</w:t>
            </w:r>
          </w:p>
        </w:tc>
        <w:tc>
          <w:tcPr>
            <w:tcW w:w="627" w:type="dxa"/>
            <w:vAlign w:val="center"/>
          </w:tcPr>
          <w:p w14:paraId="13EF44E9">
            <w:pPr>
              <w:keepNext w:val="0"/>
              <w:keepLines w:val="0"/>
              <w:widowControl/>
              <w:suppressLineNumbers w:val="0"/>
              <w:jc w:val="center"/>
              <w:textAlignment w:val="center"/>
              <w:rPr>
                <w:rFonts w:hint="default"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10</w:t>
            </w:r>
          </w:p>
        </w:tc>
        <w:tc>
          <w:tcPr>
            <w:tcW w:w="695" w:type="dxa"/>
            <w:vAlign w:val="center"/>
          </w:tcPr>
          <w:p w14:paraId="30059733">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场</w:t>
            </w:r>
          </w:p>
        </w:tc>
        <w:tc>
          <w:tcPr>
            <w:tcW w:w="897" w:type="dxa"/>
            <w:vAlign w:val="center"/>
          </w:tcPr>
          <w:p w14:paraId="41F8CC0A">
            <w:pPr>
              <w:pStyle w:val="2"/>
              <w:rPr>
                <w:rFonts w:hint="eastAsia" w:ascii="仿宋_GB2312" w:hAnsi="仿宋_GB2312" w:eastAsia="仿宋_GB2312" w:cs="仿宋_GB2312"/>
                <w:sz w:val="32"/>
                <w:szCs w:val="32"/>
                <w:vertAlign w:val="baseline"/>
                <w:lang w:val="en-US" w:eastAsia="zh-CN"/>
              </w:rPr>
            </w:pPr>
          </w:p>
        </w:tc>
      </w:tr>
      <w:tr w14:paraId="45236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42796B1C">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0BC19A8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7C3AD68E">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宋体" w:hAnsi="宋体" w:eastAsia="宋体" w:cs="宋体"/>
                <w:i w:val="0"/>
                <w:iCs w:val="0"/>
                <w:color w:val="000000"/>
                <w:kern w:val="0"/>
                <w:sz w:val="20"/>
                <w:szCs w:val="20"/>
                <w:u w:val="none"/>
                <w:lang w:val="en-US" w:eastAsia="zh-CN" w:bidi="ar"/>
              </w:rPr>
              <w:t>母婴护理员技能培训模块：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月子营养餐原材料</w:t>
            </w:r>
          </w:p>
        </w:tc>
        <w:tc>
          <w:tcPr>
            <w:tcW w:w="3116" w:type="dxa"/>
            <w:vAlign w:val="center"/>
          </w:tcPr>
          <w:p w14:paraId="4F84EA8D">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猪肉（8斤）、牛肉（4斤）、鸡肉（4斤）、鱼（10斤、8条）、虾（8斤）、鸡蛋（60个）、面粉（10斤/包、3包）、芹菜（5斤）韭菜（5斤）、大米（4斤）、小米（4斤）、小葱（2斤）、大蒜（1斤）、生姜（2斤）、鲁花花生油（5kg/瓶、1瓶）配料、油盐酱油、鸡精等调料</w:t>
            </w:r>
          </w:p>
        </w:tc>
        <w:tc>
          <w:tcPr>
            <w:tcW w:w="627" w:type="dxa"/>
            <w:vAlign w:val="center"/>
          </w:tcPr>
          <w:p w14:paraId="2D120BB1">
            <w:pPr>
              <w:keepNext w:val="0"/>
              <w:keepLines w:val="0"/>
              <w:widowControl/>
              <w:suppressLineNumbers w:val="0"/>
              <w:jc w:val="center"/>
              <w:textAlignment w:val="center"/>
              <w:rPr>
                <w:rFonts w:hint="default"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695" w:type="dxa"/>
            <w:vAlign w:val="center"/>
          </w:tcPr>
          <w:p w14:paraId="195FD1DC">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场</w:t>
            </w:r>
          </w:p>
        </w:tc>
        <w:tc>
          <w:tcPr>
            <w:tcW w:w="897" w:type="dxa"/>
            <w:vAlign w:val="center"/>
          </w:tcPr>
          <w:p w14:paraId="4E24BDDE">
            <w:pPr>
              <w:pStyle w:val="2"/>
              <w:rPr>
                <w:rFonts w:hint="eastAsia" w:ascii="仿宋_GB2312" w:hAnsi="仿宋_GB2312" w:eastAsia="仿宋_GB2312" w:cs="仿宋_GB2312"/>
                <w:sz w:val="32"/>
                <w:szCs w:val="32"/>
                <w:vertAlign w:val="baseline"/>
                <w:lang w:val="en-US" w:eastAsia="zh-CN"/>
              </w:rPr>
            </w:pPr>
          </w:p>
        </w:tc>
      </w:tr>
      <w:tr w14:paraId="3C4AF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1D636D11">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6D32201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009A7AAD">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宋体" w:hAnsi="宋体" w:eastAsia="宋体" w:cs="宋体"/>
                <w:i w:val="0"/>
                <w:iCs w:val="0"/>
                <w:color w:val="000000"/>
                <w:kern w:val="0"/>
                <w:sz w:val="20"/>
                <w:szCs w:val="20"/>
                <w:u w:val="none"/>
                <w:lang w:val="en-US" w:eastAsia="zh-CN" w:bidi="ar"/>
              </w:rPr>
              <w:t>母婴护理员技能培训模块：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教材材料书本</w:t>
            </w:r>
          </w:p>
        </w:tc>
        <w:tc>
          <w:tcPr>
            <w:tcW w:w="3116" w:type="dxa"/>
            <w:vAlign w:val="center"/>
          </w:tcPr>
          <w:p w14:paraId="549B9C4C">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 xml:space="preserve">教材：母婴护理师培训教材中国工人出版社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规格：710mm*1000mm</w:t>
            </w:r>
          </w:p>
        </w:tc>
        <w:tc>
          <w:tcPr>
            <w:tcW w:w="627" w:type="dxa"/>
            <w:vAlign w:val="center"/>
          </w:tcPr>
          <w:p w14:paraId="5B588413">
            <w:pPr>
              <w:keepNext w:val="0"/>
              <w:keepLines w:val="0"/>
              <w:widowControl/>
              <w:suppressLineNumbers w:val="0"/>
              <w:jc w:val="center"/>
              <w:textAlignment w:val="center"/>
              <w:rPr>
                <w:rFonts w:hint="default"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35</w:t>
            </w:r>
          </w:p>
        </w:tc>
        <w:tc>
          <w:tcPr>
            <w:tcW w:w="695" w:type="dxa"/>
            <w:vAlign w:val="center"/>
          </w:tcPr>
          <w:p w14:paraId="6AA04D0C">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0"/>
                <w:szCs w:val="20"/>
                <w:u w:val="none"/>
                <w:lang w:val="en-US" w:eastAsia="zh-CN" w:bidi="ar"/>
              </w:rPr>
              <w:t>本</w:t>
            </w:r>
          </w:p>
        </w:tc>
        <w:tc>
          <w:tcPr>
            <w:tcW w:w="897" w:type="dxa"/>
            <w:vAlign w:val="center"/>
          </w:tcPr>
          <w:p w14:paraId="1C22C730">
            <w:pPr>
              <w:pStyle w:val="2"/>
              <w:rPr>
                <w:rFonts w:hint="eastAsia" w:ascii="仿宋_GB2312" w:hAnsi="仿宋_GB2312" w:eastAsia="仿宋_GB2312" w:cs="仿宋_GB2312"/>
                <w:sz w:val="32"/>
                <w:szCs w:val="32"/>
                <w:vertAlign w:val="baseline"/>
                <w:lang w:val="en-US" w:eastAsia="zh-CN"/>
              </w:rPr>
            </w:pPr>
          </w:p>
        </w:tc>
      </w:tr>
      <w:tr w14:paraId="1FBF7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Align w:val="center"/>
          </w:tcPr>
          <w:p w14:paraId="66C948B6">
            <w:pPr>
              <w:pStyle w:val="2"/>
              <w:rPr>
                <w:rFonts w:hint="default"/>
                <w:lang w:val="en-US" w:eastAsia="zh-CN"/>
              </w:rPr>
            </w:pPr>
            <w:r>
              <w:rPr>
                <w:rFonts w:hint="eastAsia" w:ascii="仿宋_GB2312" w:hAnsi="仿宋_GB2312" w:eastAsia="仿宋_GB2312" w:cs="仿宋_GB2312"/>
                <w:sz w:val="32"/>
                <w:szCs w:val="32"/>
                <w:vertAlign w:val="baseline"/>
                <w:lang w:val="en-US" w:eastAsia="zh-CN"/>
              </w:rPr>
              <w:t>5</w:t>
            </w:r>
          </w:p>
        </w:tc>
        <w:tc>
          <w:tcPr>
            <w:tcW w:w="1222" w:type="dxa"/>
            <w:shd w:val="clear" w:color="auto" w:fill="auto"/>
            <w:vAlign w:val="center"/>
          </w:tcPr>
          <w:p w14:paraId="31C0D411">
            <w:pPr>
              <w:keepNext w:val="0"/>
              <w:keepLines w:val="0"/>
              <w:widowControl/>
              <w:suppressLineNumbers w:val="0"/>
              <w:jc w:val="center"/>
              <w:textAlignment w:val="center"/>
              <w:rPr>
                <w:rFonts w:hint="eastAsia" w:ascii="仿宋_GB2312" w:hAnsi="仿宋_GB2312" w:eastAsia="仿宋_GB2312" w:cs="仿宋_GB2312"/>
                <w:color w:val="auto"/>
                <w:spacing w:val="11"/>
                <w:sz w:val="32"/>
                <w:szCs w:val="32"/>
                <w:lang w:val="en-US" w:eastAsia="zh-CN"/>
              </w:rPr>
            </w:pPr>
            <w:r>
              <w:rPr>
                <w:rFonts w:hint="eastAsia" w:ascii="仿宋_GB2312" w:hAnsi="仿宋_GB2312" w:eastAsia="仿宋_GB2312" w:cs="仿宋_GB2312"/>
                <w:color w:val="auto"/>
                <w:spacing w:val="11"/>
                <w:sz w:val="32"/>
                <w:szCs w:val="32"/>
                <w:lang w:val="en-US" w:eastAsia="zh-CN"/>
              </w:rPr>
              <w:t>其他</w:t>
            </w:r>
          </w:p>
        </w:tc>
        <w:tc>
          <w:tcPr>
            <w:tcW w:w="6312" w:type="dxa"/>
            <w:gridSpan w:val="4"/>
            <w:shd w:val="clear" w:color="auto" w:fill="auto"/>
            <w:vAlign w:val="center"/>
          </w:tcPr>
          <w:p w14:paraId="471D19FB">
            <w:pPr>
              <w:pStyle w:val="2"/>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i w:val="0"/>
                <w:iCs w:val="0"/>
                <w:color w:val="000000"/>
                <w:kern w:val="0"/>
                <w:sz w:val="32"/>
                <w:szCs w:val="32"/>
                <w:u w:val="none"/>
                <w:lang w:val="en-US" w:eastAsia="zh-CN" w:bidi="ar"/>
              </w:rPr>
              <w:t>供应商可根据自身情况提供适合活动服务或物料</w:t>
            </w:r>
          </w:p>
        </w:tc>
        <w:tc>
          <w:tcPr>
            <w:tcW w:w="897" w:type="dxa"/>
            <w:vAlign w:val="center"/>
          </w:tcPr>
          <w:p w14:paraId="00570992">
            <w:pPr>
              <w:pStyle w:val="2"/>
              <w:rPr>
                <w:rFonts w:hint="eastAsia" w:ascii="仿宋_GB2312" w:hAnsi="仿宋_GB2312" w:eastAsia="仿宋_GB2312" w:cs="仿宋_GB2312"/>
                <w:sz w:val="32"/>
                <w:szCs w:val="32"/>
                <w:vertAlign w:val="baseline"/>
                <w:lang w:val="en-US" w:eastAsia="zh-CN"/>
              </w:rPr>
            </w:pPr>
          </w:p>
        </w:tc>
      </w:tr>
      <w:tr w14:paraId="7793B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Align w:val="center"/>
          </w:tcPr>
          <w:p w14:paraId="27AB894E">
            <w:pPr>
              <w:pStyle w:val="2"/>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6</w:t>
            </w:r>
          </w:p>
        </w:tc>
        <w:tc>
          <w:tcPr>
            <w:tcW w:w="7534" w:type="dxa"/>
            <w:gridSpan w:val="5"/>
            <w:shd w:val="clear" w:color="auto" w:fill="auto"/>
            <w:vAlign w:val="center"/>
          </w:tcPr>
          <w:p w14:paraId="2B1FFA6B">
            <w:pPr>
              <w:pStyle w:val="2"/>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报价总额</w:t>
            </w:r>
          </w:p>
        </w:tc>
        <w:tc>
          <w:tcPr>
            <w:tcW w:w="897" w:type="dxa"/>
            <w:vAlign w:val="center"/>
          </w:tcPr>
          <w:p w14:paraId="286B7B10">
            <w:pPr>
              <w:pStyle w:val="2"/>
              <w:rPr>
                <w:rFonts w:hint="eastAsia" w:ascii="仿宋_GB2312" w:hAnsi="仿宋_GB2312" w:eastAsia="仿宋_GB2312" w:cs="仿宋_GB2312"/>
                <w:sz w:val="32"/>
                <w:szCs w:val="32"/>
                <w:vertAlign w:val="baseline"/>
                <w:lang w:val="en-US" w:eastAsia="zh-CN"/>
              </w:rPr>
            </w:pPr>
          </w:p>
        </w:tc>
      </w:tr>
    </w:tbl>
    <w:p w14:paraId="1C29126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5D997C1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581585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44D4BF4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5E5A60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6D286B5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35B605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42DD67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019D15B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447EC0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44F9843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05B9CE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0CFEF5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lang w:val="en-US" w:eastAsia="zh-CN"/>
        </w:rPr>
      </w:pPr>
      <w:bookmarkStart w:id="2" w:name="_GoBack"/>
      <w:bookmarkEnd w:id="2"/>
      <w:r>
        <w:rPr>
          <w:rFonts w:hint="eastAsia" w:ascii="黑体" w:hAnsi="黑体" w:eastAsia="黑体" w:cs="黑体"/>
          <w:bCs/>
          <w:sz w:val="32"/>
          <w:szCs w:val="32"/>
          <w:highlight w:val="none"/>
        </w:rPr>
        <w:t>附件</w:t>
      </w:r>
      <w:r>
        <w:rPr>
          <w:rFonts w:hint="eastAsia" w:ascii="黑体" w:hAnsi="黑体" w:eastAsia="黑体" w:cs="黑体"/>
          <w:bCs/>
          <w:sz w:val="32"/>
          <w:szCs w:val="32"/>
          <w:highlight w:val="none"/>
          <w:lang w:val="en-US" w:eastAsia="zh-CN"/>
        </w:rPr>
        <w:t>2</w:t>
      </w:r>
    </w:p>
    <w:p w14:paraId="1F90C106">
      <w:pPr>
        <w:keepNext w:val="0"/>
        <w:keepLines w:val="0"/>
        <w:pageBreakBefore w:val="0"/>
        <w:widowControl w:val="0"/>
        <w:kinsoku/>
        <w:wordWrap/>
        <w:overflowPunct/>
        <w:topLinePunct w:val="0"/>
        <w:autoSpaceDE/>
        <w:autoSpaceDN/>
        <w:bidi w:val="0"/>
        <w:adjustRightInd w:val="0"/>
        <w:snapToGrid w:val="0"/>
        <w:spacing w:before="0" w:after="0" w:line="240" w:lineRule="auto"/>
        <w:jc w:val="center"/>
        <w:textAlignment w:val="auto"/>
        <w:outlineLvl w:val="0"/>
        <w:rPr>
          <w:rFonts w:hint="eastAsia" w:ascii="方正小标宋简体" w:hAnsi="方正小标宋简体" w:eastAsia="方正小标宋简体" w:cs="方正小标宋简体"/>
          <w:b w:val="0"/>
          <w:bCs w:val="0"/>
          <w:kern w:val="2"/>
          <w:sz w:val="44"/>
          <w:szCs w:val="44"/>
          <w:lang w:val="en-US" w:eastAsia="zh-CN" w:bidi="ar-SA"/>
        </w:rPr>
      </w:pPr>
      <w:r>
        <w:rPr>
          <w:rFonts w:hint="eastAsia" w:ascii="方正小标宋简体" w:hAnsi="方正小标宋简体" w:eastAsia="方正小标宋简体" w:cs="方正小标宋简体"/>
          <w:b w:val="0"/>
          <w:bCs w:val="0"/>
          <w:kern w:val="2"/>
          <w:sz w:val="44"/>
          <w:szCs w:val="44"/>
          <w:lang w:val="en-US" w:eastAsia="zh-CN" w:bidi="ar-SA"/>
        </w:rPr>
        <w:t>供应商基本情况表</w:t>
      </w:r>
    </w:p>
    <w:p w14:paraId="10BA09B3">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填表单位：（加盖单位公章）</w:t>
      </w:r>
      <w:r>
        <w:rPr>
          <w:rFonts w:hint="eastAsia" w:ascii="仿宋_GB2312" w:hAnsi="仿宋_GB2312" w:eastAsia="仿宋_GB2312" w:cs="仿宋_GB2312"/>
          <w:sz w:val="28"/>
          <w:szCs w:val="28"/>
          <w:lang w:val="en-US" w:eastAsia="zh-CN"/>
        </w:rPr>
        <w:tab/>
      </w:r>
      <w:r>
        <w:rPr>
          <w:rFonts w:hint="eastAsia" w:ascii="仿宋_GB2312" w:hAnsi="仿宋_GB2312" w:eastAsia="仿宋_GB2312" w:cs="仿宋_GB2312"/>
          <w:sz w:val="28"/>
          <w:szCs w:val="28"/>
          <w:lang w:val="en-US" w:eastAsia="zh-CN"/>
        </w:rPr>
        <w:tab/>
      </w:r>
      <w:r>
        <w:rPr>
          <w:rFonts w:hint="eastAsia" w:ascii="仿宋_GB2312" w:hAnsi="仿宋_GB2312" w:eastAsia="仿宋_GB2312" w:cs="仿宋_GB2312"/>
          <w:sz w:val="28"/>
          <w:szCs w:val="28"/>
          <w:lang w:val="en-US" w:eastAsia="zh-CN"/>
        </w:rPr>
        <w:t xml:space="preserve">   填表日期：    年   月   日</w:t>
      </w:r>
    </w:p>
    <w:tbl>
      <w:tblPr>
        <w:tblStyle w:val="13"/>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5"/>
        <w:gridCol w:w="960"/>
        <w:gridCol w:w="1242"/>
        <w:gridCol w:w="1208"/>
        <w:gridCol w:w="791"/>
        <w:gridCol w:w="1200"/>
        <w:gridCol w:w="1500"/>
        <w:gridCol w:w="1485"/>
      </w:tblGrid>
      <w:tr w14:paraId="0CBA9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1515" w:type="dxa"/>
            <w:gridSpan w:val="2"/>
            <w:noWrap w:val="0"/>
            <w:vAlign w:val="center"/>
          </w:tcPr>
          <w:p w14:paraId="36D85C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采购人</w:t>
            </w:r>
          </w:p>
        </w:tc>
        <w:tc>
          <w:tcPr>
            <w:tcW w:w="2450" w:type="dxa"/>
            <w:gridSpan w:val="2"/>
            <w:noWrap w:val="0"/>
            <w:vAlign w:val="center"/>
          </w:tcPr>
          <w:p w14:paraId="0C8D1BBF">
            <w:pPr>
              <w:jc w:val="center"/>
              <w:rPr>
                <w:rFonts w:hint="eastAsia" w:ascii="仿宋_GB2312" w:hAnsi="仿宋_GB2312" w:eastAsia="仿宋_GB2312" w:cs="仿宋_GB2312"/>
                <w:sz w:val="24"/>
                <w:szCs w:val="24"/>
                <w:vertAlign w:val="baseline"/>
                <w:lang w:val="en-US" w:eastAsia="zh-CN"/>
              </w:rPr>
            </w:pPr>
          </w:p>
        </w:tc>
        <w:tc>
          <w:tcPr>
            <w:tcW w:w="1991" w:type="dxa"/>
            <w:gridSpan w:val="2"/>
            <w:noWrap w:val="0"/>
            <w:vAlign w:val="center"/>
          </w:tcPr>
          <w:p w14:paraId="359048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项目名称</w:t>
            </w:r>
          </w:p>
        </w:tc>
        <w:tc>
          <w:tcPr>
            <w:tcW w:w="2985" w:type="dxa"/>
            <w:gridSpan w:val="2"/>
            <w:noWrap w:val="0"/>
            <w:vAlign w:val="center"/>
          </w:tcPr>
          <w:p w14:paraId="28CCF825">
            <w:pPr>
              <w:jc w:val="center"/>
              <w:rPr>
                <w:rFonts w:hint="eastAsia" w:ascii="仿宋_GB2312" w:hAnsi="仿宋_GB2312" w:eastAsia="仿宋_GB2312" w:cs="仿宋_GB2312"/>
                <w:sz w:val="24"/>
                <w:szCs w:val="24"/>
                <w:vertAlign w:val="baseline"/>
                <w:lang w:val="en-US" w:eastAsia="zh-CN"/>
              </w:rPr>
            </w:pPr>
          </w:p>
        </w:tc>
      </w:tr>
      <w:tr w14:paraId="55C4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5" w:type="dxa"/>
            <w:gridSpan w:val="2"/>
            <w:noWrap w:val="0"/>
            <w:vAlign w:val="center"/>
          </w:tcPr>
          <w:p w14:paraId="4EC20E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投标（响应）供应商</w:t>
            </w:r>
          </w:p>
        </w:tc>
        <w:tc>
          <w:tcPr>
            <w:tcW w:w="2450" w:type="dxa"/>
            <w:gridSpan w:val="2"/>
            <w:noWrap w:val="0"/>
            <w:vAlign w:val="center"/>
          </w:tcPr>
          <w:p w14:paraId="332AE581">
            <w:pPr>
              <w:jc w:val="center"/>
              <w:rPr>
                <w:rFonts w:hint="eastAsia" w:ascii="仿宋_GB2312" w:hAnsi="仿宋_GB2312" w:eastAsia="仿宋_GB2312" w:cs="仿宋_GB2312"/>
                <w:sz w:val="24"/>
                <w:szCs w:val="24"/>
                <w:vertAlign w:val="baseline"/>
                <w:lang w:val="en-US" w:eastAsia="zh-CN"/>
              </w:rPr>
            </w:pPr>
          </w:p>
        </w:tc>
        <w:tc>
          <w:tcPr>
            <w:tcW w:w="1991" w:type="dxa"/>
            <w:gridSpan w:val="2"/>
            <w:noWrap w:val="0"/>
            <w:vAlign w:val="center"/>
          </w:tcPr>
          <w:p w14:paraId="06179A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供应商统一社会信用代码</w:t>
            </w:r>
          </w:p>
        </w:tc>
        <w:tc>
          <w:tcPr>
            <w:tcW w:w="2985" w:type="dxa"/>
            <w:gridSpan w:val="2"/>
            <w:noWrap w:val="0"/>
            <w:vAlign w:val="center"/>
          </w:tcPr>
          <w:p w14:paraId="7379DA9B">
            <w:pPr>
              <w:jc w:val="center"/>
              <w:rPr>
                <w:rFonts w:hint="eastAsia" w:ascii="仿宋_GB2312" w:hAnsi="仿宋_GB2312" w:eastAsia="仿宋_GB2312" w:cs="仿宋_GB2312"/>
                <w:sz w:val="24"/>
                <w:szCs w:val="24"/>
                <w:vertAlign w:val="baseline"/>
                <w:lang w:val="en-US" w:eastAsia="zh-CN"/>
              </w:rPr>
            </w:pPr>
          </w:p>
        </w:tc>
      </w:tr>
      <w:tr w14:paraId="643EF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8941" w:type="dxa"/>
            <w:gridSpan w:val="8"/>
            <w:noWrap w:val="0"/>
            <w:vAlign w:val="center"/>
          </w:tcPr>
          <w:p w14:paraId="621C53CE">
            <w:pPr>
              <w:jc w:val="center"/>
              <w:rPr>
                <w:rFonts w:hint="eastAsia" w:ascii="仿宋_GB2312" w:hAnsi="仿宋_GB2312" w:eastAsia="仿宋_GB2312" w:cs="仿宋_GB2312"/>
                <w:sz w:val="24"/>
                <w:szCs w:val="24"/>
                <w:vertAlign w:val="baseline"/>
                <w:lang w:val="en-US" w:eastAsia="zh-CN"/>
              </w:rPr>
            </w:pPr>
            <w:r>
              <w:rPr>
                <w:rFonts w:hint="eastAsia" w:ascii="黑体" w:hAnsi="黑体" w:eastAsia="黑体" w:cs="黑体"/>
                <w:b w:val="0"/>
                <w:bCs w:val="0"/>
                <w:sz w:val="24"/>
                <w:szCs w:val="24"/>
                <w:vertAlign w:val="baseline"/>
                <w:lang w:val="en-US" w:eastAsia="zh-CN"/>
              </w:rPr>
              <w:t>投标（响应）供应商相关人员情况</w:t>
            </w:r>
          </w:p>
        </w:tc>
      </w:tr>
      <w:tr w14:paraId="055A6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Borders>
              <w:bottom w:val="single" w:color="auto" w:sz="4" w:space="0"/>
            </w:tcBorders>
            <w:noWrap w:val="0"/>
            <w:vAlign w:val="center"/>
          </w:tcPr>
          <w:p w14:paraId="65FCB2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序号</w:t>
            </w:r>
          </w:p>
        </w:tc>
        <w:tc>
          <w:tcPr>
            <w:tcW w:w="2202" w:type="dxa"/>
            <w:gridSpan w:val="2"/>
            <w:tcBorders>
              <w:bottom w:val="single" w:color="auto" w:sz="4" w:space="0"/>
            </w:tcBorders>
            <w:noWrap w:val="0"/>
            <w:vAlign w:val="center"/>
          </w:tcPr>
          <w:p w14:paraId="24849F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职务</w:t>
            </w:r>
          </w:p>
        </w:tc>
        <w:tc>
          <w:tcPr>
            <w:tcW w:w="1208" w:type="dxa"/>
            <w:tcBorders>
              <w:bottom w:val="single" w:color="auto" w:sz="4" w:space="0"/>
            </w:tcBorders>
            <w:noWrap w:val="0"/>
            <w:vAlign w:val="center"/>
          </w:tcPr>
          <w:p w14:paraId="52B962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姓名</w:t>
            </w:r>
          </w:p>
        </w:tc>
        <w:tc>
          <w:tcPr>
            <w:tcW w:w="1991" w:type="dxa"/>
            <w:gridSpan w:val="2"/>
            <w:tcBorders>
              <w:bottom w:val="single" w:color="auto" w:sz="4" w:space="0"/>
            </w:tcBorders>
            <w:noWrap w:val="0"/>
            <w:vAlign w:val="center"/>
          </w:tcPr>
          <w:p w14:paraId="448CED6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身份证号码</w:t>
            </w:r>
          </w:p>
        </w:tc>
        <w:tc>
          <w:tcPr>
            <w:tcW w:w="1500" w:type="dxa"/>
            <w:tcBorders>
              <w:bottom w:val="single" w:color="auto" w:sz="4" w:space="0"/>
            </w:tcBorders>
            <w:noWrap w:val="0"/>
            <w:vAlign w:val="center"/>
          </w:tcPr>
          <w:p w14:paraId="3FF9F1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劳动合同</w:t>
            </w:r>
          </w:p>
          <w:p w14:paraId="4D52A5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关系单位</w:t>
            </w:r>
          </w:p>
        </w:tc>
        <w:tc>
          <w:tcPr>
            <w:tcW w:w="1485" w:type="dxa"/>
            <w:tcBorders>
              <w:bottom w:val="single" w:color="auto" w:sz="4" w:space="0"/>
            </w:tcBorders>
            <w:noWrap w:val="0"/>
            <w:vAlign w:val="center"/>
          </w:tcPr>
          <w:p w14:paraId="3AA118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缴纳社会</w:t>
            </w:r>
          </w:p>
          <w:p w14:paraId="244D7A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保险单位</w:t>
            </w:r>
          </w:p>
        </w:tc>
      </w:tr>
      <w:tr w14:paraId="01CE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Borders>
              <w:top w:val="single" w:color="auto" w:sz="4" w:space="0"/>
              <w:left w:val="single" w:color="auto" w:sz="4" w:space="0"/>
              <w:bottom w:val="single" w:color="auto" w:sz="4" w:space="0"/>
              <w:right w:val="single" w:color="auto" w:sz="4" w:space="0"/>
            </w:tcBorders>
            <w:noWrap w:val="0"/>
            <w:vAlign w:val="center"/>
          </w:tcPr>
          <w:p w14:paraId="59A6B0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2202" w:type="dxa"/>
            <w:gridSpan w:val="2"/>
            <w:tcBorders>
              <w:top w:val="single" w:color="auto" w:sz="4" w:space="0"/>
              <w:left w:val="single" w:color="auto" w:sz="4" w:space="0"/>
              <w:bottom w:val="single" w:color="auto" w:sz="4" w:space="0"/>
              <w:right w:val="single" w:color="auto" w:sz="4" w:space="0"/>
            </w:tcBorders>
            <w:noWrap w:val="0"/>
            <w:vAlign w:val="center"/>
          </w:tcPr>
          <w:p w14:paraId="172E94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法定代表人/单位负责人/主要经营负责人</w:t>
            </w:r>
          </w:p>
        </w:tc>
        <w:tc>
          <w:tcPr>
            <w:tcW w:w="1208" w:type="dxa"/>
            <w:tcBorders>
              <w:top w:val="single" w:color="auto" w:sz="4" w:space="0"/>
              <w:left w:val="single" w:color="auto" w:sz="4" w:space="0"/>
              <w:bottom w:val="single" w:color="auto" w:sz="4" w:space="0"/>
              <w:right w:val="single" w:color="auto" w:sz="4" w:space="0"/>
            </w:tcBorders>
            <w:noWrap w:val="0"/>
            <w:vAlign w:val="center"/>
          </w:tcPr>
          <w:p w14:paraId="6BCC6582">
            <w:pPr>
              <w:jc w:val="center"/>
              <w:rPr>
                <w:rFonts w:hint="eastAsia" w:ascii="仿宋_GB2312" w:hAnsi="仿宋_GB2312" w:eastAsia="仿宋_GB2312" w:cs="仿宋_GB2312"/>
                <w:sz w:val="24"/>
                <w:szCs w:val="24"/>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56D80828">
            <w:pPr>
              <w:jc w:val="center"/>
              <w:rPr>
                <w:rFonts w:hint="eastAsia" w:ascii="仿宋_GB2312" w:hAnsi="仿宋_GB2312" w:eastAsia="仿宋_GB2312" w:cs="仿宋_GB2312"/>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B0285F4">
            <w:pPr>
              <w:jc w:val="center"/>
              <w:rPr>
                <w:rFonts w:hint="eastAsia" w:ascii="仿宋_GB2312" w:hAnsi="仿宋_GB2312" w:eastAsia="仿宋_GB2312" w:cs="仿宋_GB2312"/>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3BD322DD">
            <w:pPr>
              <w:jc w:val="center"/>
              <w:rPr>
                <w:rFonts w:hint="eastAsia" w:ascii="仿宋_GB2312" w:hAnsi="仿宋_GB2312" w:eastAsia="仿宋_GB2312" w:cs="仿宋_GB2312"/>
                <w:sz w:val="24"/>
                <w:szCs w:val="24"/>
                <w:vertAlign w:val="baseline"/>
                <w:lang w:val="en-US" w:eastAsia="zh-CN"/>
              </w:rPr>
            </w:pPr>
          </w:p>
        </w:tc>
      </w:tr>
      <w:tr w14:paraId="520DD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Borders>
              <w:top w:val="single" w:color="auto" w:sz="4" w:space="0"/>
              <w:left w:val="single" w:color="auto" w:sz="4" w:space="0"/>
              <w:bottom w:val="single" w:color="auto" w:sz="4" w:space="0"/>
              <w:right w:val="single" w:color="auto" w:sz="4" w:space="0"/>
            </w:tcBorders>
            <w:noWrap w:val="0"/>
            <w:vAlign w:val="center"/>
          </w:tcPr>
          <w:p w14:paraId="53E71D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2202" w:type="dxa"/>
            <w:gridSpan w:val="2"/>
            <w:tcBorders>
              <w:top w:val="single" w:color="auto" w:sz="4" w:space="0"/>
              <w:left w:val="single" w:color="auto" w:sz="4" w:space="0"/>
              <w:bottom w:val="single" w:color="auto" w:sz="4" w:space="0"/>
              <w:right w:val="single" w:color="auto" w:sz="4" w:space="0"/>
            </w:tcBorders>
            <w:noWrap w:val="0"/>
            <w:vAlign w:val="center"/>
          </w:tcPr>
          <w:p w14:paraId="4550D3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项目投标授权代表人</w:t>
            </w:r>
          </w:p>
        </w:tc>
        <w:tc>
          <w:tcPr>
            <w:tcW w:w="1208" w:type="dxa"/>
            <w:tcBorders>
              <w:top w:val="single" w:color="auto" w:sz="4" w:space="0"/>
              <w:left w:val="single" w:color="auto" w:sz="4" w:space="0"/>
              <w:bottom w:val="single" w:color="auto" w:sz="4" w:space="0"/>
              <w:right w:val="single" w:color="auto" w:sz="4" w:space="0"/>
            </w:tcBorders>
            <w:noWrap w:val="0"/>
            <w:vAlign w:val="center"/>
          </w:tcPr>
          <w:p w14:paraId="5C26312C">
            <w:pPr>
              <w:jc w:val="center"/>
              <w:rPr>
                <w:rFonts w:hint="eastAsia" w:ascii="仿宋_GB2312" w:hAnsi="仿宋_GB2312" w:eastAsia="仿宋_GB2312" w:cs="仿宋_GB2312"/>
                <w:sz w:val="24"/>
                <w:szCs w:val="24"/>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2395E1E9">
            <w:pPr>
              <w:jc w:val="center"/>
              <w:rPr>
                <w:rFonts w:hint="eastAsia" w:ascii="仿宋_GB2312" w:hAnsi="仿宋_GB2312" w:eastAsia="仿宋_GB2312" w:cs="仿宋_GB2312"/>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B28CAB1">
            <w:pPr>
              <w:jc w:val="center"/>
              <w:rPr>
                <w:rFonts w:hint="eastAsia" w:ascii="仿宋_GB2312" w:hAnsi="仿宋_GB2312" w:eastAsia="仿宋_GB2312" w:cs="仿宋_GB2312"/>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735945AC">
            <w:pPr>
              <w:jc w:val="center"/>
              <w:rPr>
                <w:rFonts w:hint="eastAsia" w:ascii="仿宋_GB2312" w:hAnsi="仿宋_GB2312" w:eastAsia="仿宋_GB2312" w:cs="仿宋_GB2312"/>
                <w:sz w:val="24"/>
                <w:szCs w:val="24"/>
                <w:vertAlign w:val="baseline"/>
                <w:lang w:val="en-US" w:eastAsia="zh-CN"/>
              </w:rPr>
            </w:pPr>
          </w:p>
        </w:tc>
      </w:tr>
      <w:tr w14:paraId="3148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55" w:type="dxa"/>
            <w:tcBorders>
              <w:top w:val="single" w:color="auto" w:sz="4" w:space="0"/>
            </w:tcBorders>
            <w:noWrap w:val="0"/>
            <w:vAlign w:val="center"/>
          </w:tcPr>
          <w:p w14:paraId="542B7A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2202" w:type="dxa"/>
            <w:gridSpan w:val="2"/>
            <w:tcBorders>
              <w:top w:val="single" w:color="auto" w:sz="4" w:space="0"/>
            </w:tcBorders>
            <w:noWrap w:val="0"/>
            <w:vAlign w:val="center"/>
          </w:tcPr>
          <w:p w14:paraId="671298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项目负责人</w:t>
            </w:r>
          </w:p>
        </w:tc>
        <w:tc>
          <w:tcPr>
            <w:tcW w:w="1208" w:type="dxa"/>
            <w:tcBorders>
              <w:top w:val="single" w:color="auto" w:sz="4" w:space="0"/>
            </w:tcBorders>
            <w:noWrap w:val="0"/>
            <w:vAlign w:val="center"/>
          </w:tcPr>
          <w:p w14:paraId="7C988F2A">
            <w:pPr>
              <w:jc w:val="center"/>
              <w:rPr>
                <w:rFonts w:hint="eastAsia" w:ascii="仿宋_GB2312" w:hAnsi="仿宋_GB2312" w:eastAsia="仿宋_GB2312" w:cs="仿宋_GB2312"/>
                <w:sz w:val="24"/>
                <w:szCs w:val="24"/>
                <w:vertAlign w:val="baseline"/>
                <w:lang w:val="en-US" w:eastAsia="zh-CN"/>
              </w:rPr>
            </w:pPr>
          </w:p>
        </w:tc>
        <w:tc>
          <w:tcPr>
            <w:tcW w:w="1991" w:type="dxa"/>
            <w:gridSpan w:val="2"/>
            <w:tcBorders>
              <w:top w:val="single" w:color="auto" w:sz="4" w:space="0"/>
            </w:tcBorders>
            <w:noWrap w:val="0"/>
            <w:vAlign w:val="center"/>
          </w:tcPr>
          <w:p w14:paraId="791D75F2">
            <w:pPr>
              <w:jc w:val="center"/>
              <w:rPr>
                <w:rFonts w:hint="eastAsia" w:ascii="仿宋_GB2312" w:hAnsi="仿宋_GB2312" w:eastAsia="仿宋_GB2312" w:cs="仿宋_GB2312"/>
                <w:sz w:val="24"/>
                <w:szCs w:val="24"/>
                <w:vertAlign w:val="baseline"/>
                <w:lang w:val="en-US" w:eastAsia="zh-CN"/>
              </w:rPr>
            </w:pPr>
          </w:p>
        </w:tc>
        <w:tc>
          <w:tcPr>
            <w:tcW w:w="1500" w:type="dxa"/>
            <w:tcBorders>
              <w:top w:val="single" w:color="auto" w:sz="4" w:space="0"/>
            </w:tcBorders>
            <w:noWrap w:val="0"/>
            <w:vAlign w:val="center"/>
          </w:tcPr>
          <w:p w14:paraId="6A6C6793">
            <w:pPr>
              <w:jc w:val="center"/>
              <w:rPr>
                <w:rFonts w:hint="eastAsia" w:ascii="仿宋_GB2312" w:hAnsi="仿宋_GB2312" w:eastAsia="仿宋_GB2312" w:cs="仿宋_GB2312"/>
                <w:sz w:val="24"/>
                <w:szCs w:val="24"/>
                <w:vertAlign w:val="baseline"/>
                <w:lang w:val="en-US" w:eastAsia="zh-CN"/>
              </w:rPr>
            </w:pPr>
          </w:p>
        </w:tc>
        <w:tc>
          <w:tcPr>
            <w:tcW w:w="1485" w:type="dxa"/>
            <w:tcBorders>
              <w:top w:val="single" w:color="auto" w:sz="4" w:space="0"/>
            </w:tcBorders>
            <w:noWrap w:val="0"/>
            <w:vAlign w:val="center"/>
          </w:tcPr>
          <w:p w14:paraId="21BAAE03">
            <w:pPr>
              <w:jc w:val="center"/>
              <w:rPr>
                <w:rFonts w:hint="eastAsia" w:ascii="仿宋_GB2312" w:hAnsi="仿宋_GB2312" w:eastAsia="仿宋_GB2312" w:cs="仿宋_GB2312"/>
                <w:sz w:val="24"/>
                <w:szCs w:val="24"/>
                <w:vertAlign w:val="baseline"/>
                <w:lang w:val="en-US" w:eastAsia="zh-CN"/>
              </w:rPr>
            </w:pPr>
          </w:p>
        </w:tc>
      </w:tr>
      <w:tr w14:paraId="7E91B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55" w:type="dxa"/>
            <w:noWrap w:val="0"/>
            <w:vAlign w:val="center"/>
          </w:tcPr>
          <w:p w14:paraId="5C4253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p>
        </w:tc>
        <w:tc>
          <w:tcPr>
            <w:tcW w:w="2202" w:type="dxa"/>
            <w:gridSpan w:val="2"/>
            <w:noWrap w:val="0"/>
            <w:vAlign w:val="center"/>
          </w:tcPr>
          <w:p w14:paraId="45799A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主要技术人员</w:t>
            </w:r>
          </w:p>
        </w:tc>
        <w:tc>
          <w:tcPr>
            <w:tcW w:w="1208" w:type="dxa"/>
            <w:noWrap w:val="0"/>
            <w:vAlign w:val="center"/>
          </w:tcPr>
          <w:p w14:paraId="04FF1BAC">
            <w:pPr>
              <w:jc w:val="center"/>
              <w:rPr>
                <w:rFonts w:hint="eastAsia" w:ascii="仿宋_GB2312" w:hAnsi="仿宋_GB2312" w:eastAsia="仿宋_GB2312" w:cs="仿宋_GB2312"/>
                <w:sz w:val="24"/>
                <w:szCs w:val="24"/>
                <w:vertAlign w:val="baseline"/>
                <w:lang w:val="en-US" w:eastAsia="zh-CN"/>
              </w:rPr>
            </w:pPr>
          </w:p>
        </w:tc>
        <w:tc>
          <w:tcPr>
            <w:tcW w:w="1991" w:type="dxa"/>
            <w:gridSpan w:val="2"/>
            <w:noWrap w:val="0"/>
            <w:vAlign w:val="center"/>
          </w:tcPr>
          <w:p w14:paraId="4D8AF74F">
            <w:pPr>
              <w:jc w:val="center"/>
              <w:rPr>
                <w:rFonts w:hint="eastAsia" w:ascii="仿宋_GB2312" w:hAnsi="仿宋_GB2312" w:eastAsia="仿宋_GB2312" w:cs="仿宋_GB2312"/>
                <w:sz w:val="24"/>
                <w:szCs w:val="24"/>
                <w:vertAlign w:val="baseline"/>
                <w:lang w:val="en-US" w:eastAsia="zh-CN"/>
              </w:rPr>
            </w:pPr>
          </w:p>
        </w:tc>
        <w:tc>
          <w:tcPr>
            <w:tcW w:w="1500" w:type="dxa"/>
            <w:noWrap w:val="0"/>
            <w:vAlign w:val="center"/>
          </w:tcPr>
          <w:p w14:paraId="390DF032">
            <w:pPr>
              <w:jc w:val="center"/>
              <w:rPr>
                <w:rFonts w:hint="eastAsia" w:ascii="仿宋_GB2312" w:hAnsi="仿宋_GB2312" w:eastAsia="仿宋_GB2312" w:cs="仿宋_GB2312"/>
                <w:sz w:val="24"/>
                <w:szCs w:val="24"/>
                <w:vertAlign w:val="baseline"/>
                <w:lang w:val="en-US" w:eastAsia="zh-CN"/>
              </w:rPr>
            </w:pPr>
          </w:p>
        </w:tc>
        <w:tc>
          <w:tcPr>
            <w:tcW w:w="1485" w:type="dxa"/>
            <w:noWrap w:val="0"/>
            <w:vAlign w:val="center"/>
          </w:tcPr>
          <w:p w14:paraId="0B030853">
            <w:pPr>
              <w:jc w:val="center"/>
              <w:rPr>
                <w:rFonts w:hint="eastAsia" w:ascii="仿宋_GB2312" w:hAnsi="仿宋_GB2312" w:eastAsia="仿宋_GB2312" w:cs="仿宋_GB2312"/>
                <w:sz w:val="24"/>
                <w:szCs w:val="24"/>
                <w:vertAlign w:val="baseline"/>
                <w:lang w:val="en-US" w:eastAsia="zh-CN"/>
              </w:rPr>
            </w:pPr>
          </w:p>
        </w:tc>
      </w:tr>
      <w:tr w14:paraId="4390C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55" w:type="dxa"/>
            <w:noWrap w:val="0"/>
            <w:vAlign w:val="center"/>
          </w:tcPr>
          <w:p w14:paraId="5FB7D4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p>
        </w:tc>
        <w:tc>
          <w:tcPr>
            <w:tcW w:w="2202" w:type="dxa"/>
            <w:gridSpan w:val="2"/>
            <w:noWrap w:val="0"/>
            <w:vAlign w:val="center"/>
          </w:tcPr>
          <w:p w14:paraId="0BE3154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投标文件编制人员</w:t>
            </w:r>
          </w:p>
        </w:tc>
        <w:tc>
          <w:tcPr>
            <w:tcW w:w="1208" w:type="dxa"/>
            <w:noWrap w:val="0"/>
            <w:vAlign w:val="center"/>
          </w:tcPr>
          <w:p w14:paraId="1F915B30">
            <w:pPr>
              <w:jc w:val="center"/>
              <w:rPr>
                <w:rFonts w:hint="eastAsia" w:ascii="仿宋_GB2312" w:hAnsi="仿宋_GB2312" w:eastAsia="仿宋_GB2312" w:cs="仿宋_GB2312"/>
                <w:sz w:val="24"/>
                <w:szCs w:val="24"/>
                <w:vertAlign w:val="baseline"/>
                <w:lang w:val="en-US" w:eastAsia="zh-CN"/>
              </w:rPr>
            </w:pPr>
          </w:p>
        </w:tc>
        <w:tc>
          <w:tcPr>
            <w:tcW w:w="1991" w:type="dxa"/>
            <w:gridSpan w:val="2"/>
            <w:noWrap w:val="0"/>
            <w:vAlign w:val="center"/>
          </w:tcPr>
          <w:p w14:paraId="43C62644">
            <w:pPr>
              <w:jc w:val="center"/>
              <w:rPr>
                <w:rFonts w:hint="eastAsia" w:ascii="仿宋_GB2312" w:hAnsi="仿宋_GB2312" w:eastAsia="仿宋_GB2312" w:cs="仿宋_GB2312"/>
                <w:sz w:val="24"/>
                <w:szCs w:val="24"/>
                <w:vertAlign w:val="baseline"/>
                <w:lang w:val="en-US" w:eastAsia="zh-CN"/>
              </w:rPr>
            </w:pPr>
          </w:p>
        </w:tc>
        <w:tc>
          <w:tcPr>
            <w:tcW w:w="1500" w:type="dxa"/>
            <w:noWrap w:val="0"/>
            <w:vAlign w:val="center"/>
          </w:tcPr>
          <w:p w14:paraId="6B994FBC">
            <w:pPr>
              <w:jc w:val="center"/>
              <w:rPr>
                <w:rFonts w:hint="eastAsia" w:ascii="仿宋_GB2312" w:hAnsi="仿宋_GB2312" w:eastAsia="仿宋_GB2312" w:cs="仿宋_GB2312"/>
                <w:sz w:val="24"/>
                <w:szCs w:val="24"/>
                <w:vertAlign w:val="baseline"/>
                <w:lang w:val="en-US" w:eastAsia="zh-CN"/>
              </w:rPr>
            </w:pPr>
          </w:p>
        </w:tc>
        <w:tc>
          <w:tcPr>
            <w:tcW w:w="1485" w:type="dxa"/>
            <w:noWrap w:val="0"/>
            <w:vAlign w:val="center"/>
          </w:tcPr>
          <w:p w14:paraId="21D1E665">
            <w:pPr>
              <w:jc w:val="center"/>
              <w:rPr>
                <w:rFonts w:hint="eastAsia" w:ascii="仿宋_GB2312" w:hAnsi="仿宋_GB2312" w:eastAsia="仿宋_GB2312" w:cs="仿宋_GB2312"/>
                <w:sz w:val="24"/>
                <w:szCs w:val="24"/>
                <w:vertAlign w:val="baseline"/>
                <w:lang w:val="en-US" w:eastAsia="zh-CN"/>
              </w:rPr>
            </w:pPr>
          </w:p>
        </w:tc>
      </w:tr>
      <w:tr w14:paraId="4B066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941" w:type="dxa"/>
            <w:gridSpan w:val="8"/>
            <w:noWrap w:val="0"/>
            <w:vAlign w:val="center"/>
          </w:tcPr>
          <w:p w14:paraId="61299D07">
            <w:pPr>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b/>
                <w:bCs/>
                <w:color w:val="auto"/>
                <w:sz w:val="24"/>
                <w:szCs w:val="24"/>
                <w:highlight w:val="none"/>
                <w:vertAlign w:val="baseline"/>
                <w:lang w:val="en-US" w:eastAsia="zh-CN"/>
              </w:rPr>
              <w:t>说明：同一职务有多人担任（如主要技术人员），应分行填写。</w:t>
            </w:r>
          </w:p>
        </w:tc>
      </w:tr>
      <w:tr w14:paraId="1C0B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941" w:type="dxa"/>
            <w:gridSpan w:val="8"/>
            <w:noWrap w:val="0"/>
            <w:vAlign w:val="center"/>
          </w:tcPr>
          <w:p w14:paraId="18196939">
            <w:pPr>
              <w:jc w:val="center"/>
              <w:rPr>
                <w:rFonts w:hint="eastAsia" w:ascii="仿宋_GB2312" w:hAnsi="仿宋_GB2312" w:eastAsia="仿宋_GB2312" w:cs="仿宋_GB2312"/>
                <w:b/>
                <w:bCs/>
                <w:sz w:val="24"/>
                <w:szCs w:val="24"/>
                <w:vertAlign w:val="baseline"/>
                <w:lang w:val="en-US" w:eastAsia="zh-CN"/>
              </w:rPr>
            </w:pPr>
            <w:r>
              <w:rPr>
                <w:rFonts w:hint="eastAsia" w:ascii="黑体" w:hAnsi="黑体" w:eastAsia="黑体" w:cs="黑体"/>
                <w:sz w:val="24"/>
                <w:szCs w:val="24"/>
                <w:lang w:val="en-US" w:eastAsia="zh-CN"/>
              </w:rPr>
              <w:t>投标（响应）供应商关联关系情况</w:t>
            </w:r>
          </w:p>
        </w:tc>
      </w:tr>
      <w:tr w14:paraId="07B4E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Borders>
              <w:bottom w:val="single" w:color="auto" w:sz="4" w:space="0"/>
            </w:tcBorders>
            <w:noWrap w:val="0"/>
            <w:vAlign w:val="center"/>
          </w:tcPr>
          <w:p w14:paraId="614FEAB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序号</w:t>
            </w:r>
          </w:p>
        </w:tc>
        <w:tc>
          <w:tcPr>
            <w:tcW w:w="2202" w:type="dxa"/>
            <w:gridSpan w:val="2"/>
            <w:tcBorders>
              <w:bottom w:val="single" w:color="auto" w:sz="4" w:space="0"/>
            </w:tcBorders>
            <w:noWrap w:val="0"/>
            <w:vAlign w:val="center"/>
          </w:tcPr>
          <w:p w14:paraId="564BF9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关联关系类型</w:t>
            </w:r>
          </w:p>
        </w:tc>
        <w:tc>
          <w:tcPr>
            <w:tcW w:w="1999" w:type="dxa"/>
            <w:gridSpan w:val="2"/>
            <w:tcBorders>
              <w:bottom w:val="single" w:color="auto" w:sz="4" w:space="0"/>
            </w:tcBorders>
            <w:noWrap w:val="0"/>
            <w:vAlign w:val="center"/>
          </w:tcPr>
          <w:p w14:paraId="2273F4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关联主体名称</w:t>
            </w:r>
          </w:p>
        </w:tc>
        <w:tc>
          <w:tcPr>
            <w:tcW w:w="4185" w:type="dxa"/>
            <w:gridSpan w:val="3"/>
            <w:tcBorders>
              <w:bottom w:val="single" w:color="auto" w:sz="4" w:space="0"/>
            </w:tcBorders>
            <w:noWrap w:val="0"/>
            <w:vAlign w:val="center"/>
          </w:tcPr>
          <w:p w14:paraId="69930E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备注</w:t>
            </w:r>
          </w:p>
        </w:tc>
      </w:tr>
      <w:tr w14:paraId="45C43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Borders>
              <w:bottom w:val="single" w:color="auto" w:sz="4" w:space="0"/>
            </w:tcBorders>
            <w:noWrap w:val="0"/>
            <w:vAlign w:val="center"/>
          </w:tcPr>
          <w:p w14:paraId="624431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2202" w:type="dxa"/>
            <w:gridSpan w:val="2"/>
            <w:tcBorders>
              <w:bottom w:val="single" w:color="auto" w:sz="4" w:space="0"/>
            </w:tcBorders>
            <w:noWrap w:val="0"/>
            <w:vAlign w:val="center"/>
          </w:tcPr>
          <w:p w14:paraId="5799BC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控股股东</w:t>
            </w:r>
          </w:p>
        </w:tc>
        <w:tc>
          <w:tcPr>
            <w:tcW w:w="1999" w:type="dxa"/>
            <w:gridSpan w:val="2"/>
            <w:tcBorders>
              <w:bottom w:val="single" w:color="auto" w:sz="4" w:space="0"/>
            </w:tcBorders>
            <w:noWrap w:val="0"/>
            <w:vAlign w:val="center"/>
          </w:tcPr>
          <w:p w14:paraId="741731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p>
        </w:tc>
        <w:tc>
          <w:tcPr>
            <w:tcW w:w="4185" w:type="dxa"/>
            <w:gridSpan w:val="3"/>
            <w:tcBorders>
              <w:bottom w:val="single" w:color="auto" w:sz="4" w:space="0"/>
            </w:tcBorders>
            <w:noWrap w:val="0"/>
            <w:vAlign w:val="center"/>
          </w:tcPr>
          <w:p w14:paraId="48B900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2DACD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Borders>
              <w:bottom w:val="single" w:color="auto" w:sz="4" w:space="0"/>
            </w:tcBorders>
            <w:noWrap w:val="0"/>
            <w:vAlign w:val="center"/>
          </w:tcPr>
          <w:p w14:paraId="663676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2202" w:type="dxa"/>
            <w:gridSpan w:val="2"/>
            <w:tcBorders>
              <w:bottom w:val="single" w:color="auto" w:sz="4" w:space="0"/>
            </w:tcBorders>
            <w:noWrap w:val="0"/>
            <w:vAlign w:val="center"/>
          </w:tcPr>
          <w:p w14:paraId="041591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管理关系</w:t>
            </w:r>
          </w:p>
        </w:tc>
        <w:tc>
          <w:tcPr>
            <w:tcW w:w="1999" w:type="dxa"/>
            <w:gridSpan w:val="2"/>
            <w:tcBorders>
              <w:bottom w:val="single" w:color="auto" w:sz="4" w:space="0"/>
            </w:tcBorders>
            <w:noWrap w:val="0"/>
            <w:vAlign w:val="center"/>
          </w:tcPr>
          <w:p w14:paraId="0B7B83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p>
        </w:tc>
        <w:tc>
          <w:tcPr>
            <w:tcW w:w="4185" w:type="dxa"/>
            <w:gridSpan w:val="3"/>
            <w:tcBorders>
              <w:bottom w:val="single" w:color="auto" w:sz="4" w:space="0"/>
            </w:tcBorders>
            <w:noWrap w:val="0"/>
            <w:vAlign w:val="center"/>
          </w:tcPr>
          <w:p w14:paraId="598910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指对投标（响应）供应商不具有出资持股关系，但对其存在管理关系的主体。</w:t>
            </w:r>
          </w:p>
        </w:tc>
      </w:tr>
      <w:tr w14:paraId="404D4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8941" w:type="dxa"/>
            <w:gridSpan w:val="8"/>
            <w:tcBorders>
              <w:top w:val="single" w:color="auto" w:sz="4" w:space="0"/>
              <w:left w:val="single" w:color="auto" w:sz="4" w:space="0"/>
              <w:bottom w:val="single" w:color="auto" w:sz="4" w:space="0"/>
              <w:right w:val="single" w:color="auto" w:sz="4" w:space="0"/>
            </w:tcBorders>
            <w:noWrap w:val="0"/>
            <w:vAlign w:val="center"/>
          </w:tcPr>
          <w:p w14:paraId="0DA07108">
            <w:pPr>
              <w:snapToGrid w:val="0"/>
              <w:jc w:val="left"/>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b/>
                <w:bCs/>
                <w:color w:val="auto"/>
                <w:sz w:val="24"/>
                <w:szCs w:val="24"/>
                <w:highlight w:val="none"/>
                <w:vertAlign w:val="baseline"/>
                <w:lang w:val="en-US" w:eastAsia="zh-CN"/>
              </w:rPr>
              <w:t>说明：同一关联关系类型有多个主体的，应分行填写。</w:t>
            </w:r>
          </w:p>
        </w:tc>
      </w:tr>
    </w:tbl>
    <w:p w14:paraId="2E04F62A">
      <w:pPr>
        <w:rPr>
          <w:rFonts w:hint="eastAsia" w:ascii="黑体" w:hAnsi="黑体" w:eastAsia="黑体" w:cs="黑体"/>
          <w:bCs/>
          <w:sz w:val="32"/>
          <w:szCs w:val="32"/>
          <w:highlight w:val="none"/>
        </w:rPr>
      </w:pPr>
      <w:r>
        <w:rPr>
          <w:rFonts w:hint="eastAsia" w:ascii="黑体" w:hAnsi="黑体" w:eastAsia="黑体" w:cs="黑体"/>
          <w:bCs/>
          <w:sz w:val="32"/>
          <w:szCs w:val="32"/>
          <w:highlight w:val="none"/>
        </w:rPr>
        <w:br w:type="page"/>
      </w:r>
    </w:p>
    <w:p w14:paraId="2E5C4AF3">
      <w:pPr>
        <w:keepNext w:val="0"/>
        <w:keepLines w:val="0"/>
        <w:pageBreakBefore w:val="0"/>
        <w:kinsoku/>
        <w:wordWrap w:val="0"/>
        <w:overflowPunct/>
        <w:topLinePunct w:val="0"/>
        <w:autoSpaceDE/>
        <w:autoSpaceDN/>
        <w:bidi w:val="0"/>
        <w:adjustRightInd/>
        <w:snapToGrid/>
        <w:spacing w:beforeLines="0" w:afterLines="0" w:line="579" w:lineRule="exact"/>
        <w:ind w:firstLine="0" w:firstLineChars="0"/>
        <w:jc w:val="both"/>
        <w:textAlignment w:val="auto"/>
        <w:outlineLvl w:val="0"/>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rPr>
        <w:t>附件</w:t>
      </w:r>
      <w:r>
        <w:rPr>
          <w:rFonts w:hint="eastAsia" w:ascii="黑体" w:hAnsi="黑体" w:eastAsia="黑体" w:cs="黑体"/>
          <w:bCs/>
          <w:sz w:val="32"/>
          <w:szCs w:val="32"/>
          <w:highlight w:val="none"/>
          <w:lang w:val="en-US" w:eastAsia="zh-CN"/>
        </w:rPr>
        <w:t>3</w:t>
      </w:r>
    </w:p>
    <w:p w14:paraId="46BCF211">
      <w:pPr>
        <w:keepNext w:val="0"/>
        <w:keepLines w:val="0"/>
        <w:pageBreakBefore w:val="0"/>
        <w:widowControl/>
        <w:kinsoku/>
        <w:wordWrap/>
        <w:overflowPunct/>
        <w:topLinePunct w:val="0"/>
        <w:autoSpaceDE/>
        <w:autoSpaceDN/>
        <w:bidi w:val="0"/>
        <w:adjustRightInd/>
        <w:snapToGrid/>
        <w:spacing w:beforeLines="0" w:afterLines="0" w:line="579" w:lineRule="exact"/>
        <w:ind w:firstLine="0" w:firstLineChars="0"/>
        <w:jc w:val="center"/>
        <w:textAlignment w:val="auto"/>
        <w:outlineLvl w:val="0"/>
        <w:rPr>
          <w:rFonts w:hint="eastAsia" w:ascii="方正小标宋_GBK" w:hAnsi="方正小标宋_GBK" w:eastAsia="方正小标宋_GBK" w:cs="方正小标宋_GBK"/>
          <w:b w:val="0"/>
          <w:bCs w:val="0"/>
          <w:spacing w:val="-2"/>
          <w:sz w:val="44"/>
          <w:szCs w:val="44"/>
          <w:highlight w:val="none"/>
          <w:lang w:val="en-US" w:eastAsia="zh-CN"/>
        </w:rPr>
      </w:pPr>
      <w:r>
        <w:rPr>
          <w:rFonts w:hint="eastAsia" w:ascii="方正小标宋_GBK" w:hAnsi="方正小标宋_GBK" w:eastAsia="方正小标宋_GBK" w:cs="方正小标宋_GBK"/>
          <w:b w:val="0"/>
          <w:bCs w:val="0"/>
          <w:spacing w:val="-2"/>
          <w:sz w:val="44"/>
          <w:szCs w:val="44"/>
          <w:highlight w:val="none"/>
          <w:lang w:val="en-US" w:eastAsia="zh-CN"/>
        </w:rPr>
        <w:t>政府采购违法行为风险知悉确认书</w:t>
      </w:r>
    </w:p>
    <w:p w14:paraId="5D1B05C2">
      <w:pPr>
        <w:keepNext w:val="0"/>
        <w:keepLines w:val="0"/>
        <w:pageBreakBefore w:val="0"/>
        <w:widowControl w:val="0"/>
        <w:kinsoku/>
        <w:overflowPunct/>
        <w:topLinePunct w:val="0"/>
        <w:autoSpaceDE/>
        <w:autoSpaceDN/>
        <w:bidi w:val="0"/>
        <w:adjustRightInd/>
        <w:snapToGrid/>
        <w:spacing w:line="579" w:lineRule="exact"/>
        <w:ind w:firstLine="320" w:firstLineChars="100"/>
        <w:jc w:val="center"/>
        <w:textAlignment w:val="auto"/>
        <w:rPr>
          <w:rFonts w:hint="eastAsia" w:ascii="黑体" w:hAnsi="黑体" w:eastAsia="黑体" w:cs="黑体"/>
          <w:kern w:val="2"/>
          <w:sz w:val="32"/>
          <w:szCs w:val="32"/>
          <w:lang w:val="en-US" w:eastAsia="zh-CN" w:bidi="ar-SA"/>
        </w:rPr>
      </w:pPr>
    </w:p>
    <w:p w14:paraId="47174AA6">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sz w:val="32"/>
          <w:szCs w:val="32"/>
          <w:lang w:val="en-US" w:eastAsia="zh-CN"/>
        </w:rPr>
        <w:t>本公司在投标前已充分知悉以下情形为参与政府采购活动时的重大风险事项，并承诺已对下述风险提示事项重点排查，做到严谨、诚信、依法依规参与政府采购活动。</w:t>
      </w:r>
    </w:p>
    <w:p w14:paraId="1C1081E0">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b w:val="0"/>
          <w:bCs w:val="0"/>
          <w:sz w:val="32"/>
          <w:szCs w:val="32"/>
          <w:lang w:val="en-US" w:eastAsia="zh-CN"/>
        </w:rPr>
        <w:t>一、本公司已充分知悉“隐瞒真实情况，提供虚假</w:t>
      </w:r>
      <w:r>
        <w:rPr>
          <w:rFonts w:hint="eastAsia" w:ascii="黑体" w:hAnsi="黑体" w:eastAsia="黑体" w:cs="黑体"/>
          <w:b w:val="0"/>
          <w:bCs w:val="0"/>
          <w:sz w:val="32"/>
          <w:szCs w:val="32"/>
          <w:highlight w:val="none"/>
          <w:lang w:val="en-US" w:eastAsia="zh-CN"/>
        </w:rPr>
        <w:t>资料</w:t>
      </w:r>
      <w:r>
        <w:rPr>
          <w:rFonts w:hint="eastAsia" w:ascii="黑体" w:hAnsi="黑体" w:eastAsia="黑体" w:cs="黑体"/>
          <w:b w:val="0"/>
          <w:bCs w:val="0"/>
          <w:sz w:val="32"/>
          <w:szCs w:val="32"/>
          <w:lang w:val="en-US" w:eastAsia="zh-CN"/>
        </w:rPr>
        <w:t>”的法定情形，相关情形包括但不限于</w:t>
      </w:r>
    </w:p>
    <w:p w14:paraId="05FEA1F6">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（一）通过转让或者租借等方式从其他单位获取资格或者资质证书投标的。</w:t>
      </w:r>
    </w:p>
    <w:p w14:paraId="0BFDCF47">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（二）由其他单位或者其他单位负责人在投标供应商编制的投标文件上加盖印章或者签字的。</w:t>
      </w:r>
    </w:p>
    <w:p w14:paraId="56B764BA">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（三）项目负责人或者主要技术人员不是本单位人员的。</w:t>
      </w:r>
    </w:p>
    <w:p w14:paraId="29A05D2F">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（四）投标保证金不是从投标供应商基本账户转出的。</w:t>
      </w:r>
    </w:p>
    <w:p w14:paraId="5EECACA2">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（五）其他隐瞒真实情况、提供虚假资料的行为。</w:t>
      </w:r>
    </w:p>
    <w:p w14:paraId="6BED733B">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b w:val="0"/>
          <w:bCs w:val="0"/>
          <w:sz w:val="32"/>
          <w:szCs w:val="32"/>
          <w:lang w:val="en-US" w:eastAsia="zh-CN"/>
        </w:rPr>
        <w:t>二、本公司已充分知悉“与其他采购参加人串通投标”的法定情形，相关情形包括但不限于</w:t>
      </w:r>
    </w:p>
    <w:p w14:paraId="17408157">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（一）投标供应商之间相互约定给予未中标的供应商利益补偿。 </w:t>
      </w:r>
    </w:p>
    <w:p w14:paraId="58F0514D">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（二）不同投标供应商的法定代表人、主要经营负责人、项目投标授权代表人、项目负责人、主要技术人员为同一人、属同一单位或者在同一单位缴纳社会保险。</w:t>
      </w:r>
    </w:p>
    <w:p w14:paraId="2FFFF216">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（三）不同投标供应商的投标文件由同一单位或者同一人编制，或者由同一人分阶段参与编制的。</w:t>
      </w:r>
    </w:p>
    <w:p w14:paraId="583F12B0">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（四）不同投标供应商的投标文件或部分投标文件相互混装。</w:t>
      </w:r>
    </w:p>
    <w:p w14:paraId="10C8F6C6">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（五）不同投标供应商的投标文件内容存在非正常一致。</w:t>
      </w:r>
    </w:p>
    <w:p w14:paraId="2471D65C">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（六）由同一单位工作人员为两家以上（含两家）供应商进行同一项投标活动的。</w:t>
      </w:r>
    </w:p>
    <w:p w14:paraId="308F9E7D">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b w:val="0"/>
          <w:bCs w:val="0"/>
          <w:sz w:val="32"/>
          <w:szCs w:val="32"/>
          <w:u w:val="none"/>
          <w:lang w:val="en-US" w:eastAsia="zh-CN"/>
        </w:rPr>
        <w:t>不同投标人的投标报价呈规律性差异。</w:t>
      </w:r>
    </w:p>
    <w:p w14:paraId="28F138F5">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b w:val="0"/>
          <w:bCs w:val="0"/>
          <w:sz w:val="32"/>
          <w:szCs w:val="32"/>
          <w:u w:val="none"/>
          <w:lang w:val="en-US" w:eastAsia="zh-CN"/>
        </w:rPr>
        <w:t>不同投标人的投标保证金从同一单位或者个人的账户转出。</w:t>
      </w:r>
    </w:p>
    <w:p w14:paraId="285AEB9F">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（九）主管部门依照法律、法规认定的其他情形。</w:t>
      </w:r>
    </w:p>
    <w:p w14:paraId="42BD5A81">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b/>
          <w:bCs/>
          <w:sz w:val="32"/>
          <w:szCs w:val="32"/>
          <w:highlight w:val="none"/>
          <w:lang w:val="en-US" w:eastAsia="zh-CN"/>
        </w:rPr>
      </w:pPr>
      <w:r>
        <w:rPr>
          <w:rFonts w:hint="eastAsia" w:ascii="黑体" w:hAnsi="黑体" w:eastAsia="黑体" w:cs="黑体"/>
          <w:b w:val="0"/>
          <w:bCs w:val="0"/>
          <w:sz w:val="32"/>
          <w:szCs w:val="32"/>
          <w:highlight w:val="none"/>
          <w:lang w:val="en-US" w:eastAsia="zh-CN"/>
        </w:rPr>
        <w:t>三、本公司已充分知悉下列情形所对应的法律风险，并在投标前已对相关风险事项进行排查</w:t>
      </w:r>
    </w:p>
    <w:p w14:paraId="44A957AE">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lang w:val="en-US" w:eastAsia="zh-CN"/>
        </w:rPr>
        <w:t>（一）对于</w:t>
      </w:r>
      <w:r>
        <w:rPr>
          <w:rFonts w:hint="eastAsia" w:ascii="仿宋_GB2312" w:hAnsi="Times New Roman" w:eastAsia="仿宋_GB2312" w:cs="Times New Roman"/>
          <w:sz w:val="32"/>
          <w:szCs w:val="32"/>
          <w:lang w:eastAsia="zh-CN"/>
        </w:rPr>
        <w:t>从</w:t>
      </w:r>
      <w:r>
        <w:rPr>
          <w:rFonts w:hint="eastAsia" w:ascii="仿宋_GB2312" w:hAnsi="仿宋_GB2312" w:eastAsia="仿宋_GB2312" w:cs="仿宋_GB2312"/>
          <w:sz w:val="32"/>
          <w:szCs w:val="32"/>
          <w:lang w:val="en-US" w:eastAsia="zh-CN"/>
        </w:rPr>
        <w:t>其他主体</w:t>
      </w:r>
      <w:r>
        <w:rPr>
          <w:rFonts w:hint="eastAsia" w:ascii="仿宋_GB2312" w:hAnsi="Times New Roman" w:eastAsia="仿宋_GB2312" w:cs="Times New Roman"/>
          <w:sz w:val="32"/>
          <w:szCs w:val="32"/>
          <w:lang w:eastAsia="zh-CN"/>
        </w:rPr>
        <w:t>获取</w:t>
      </w:r>
      <w:r>
        <w:rPr>
          <w:rFonts w:hint="eastAsia" w:ascii="仿宋_GB2312" w:hAnsi="仿宋_GB2312" w:eastAsia="仿宋_GB2312" w:cs="仿宋_GB2312"/>
          <w:sz w:val="32"/>
          <w:szCs w:val="32"/>
          <w:lang w:val="en-US" w:eastAsia="zh-CN"/>
        </w:rPr>
        <w:t>的投标资料，供应商应审慎核查，确保投标资料的真实性。</w:t>
      </w:r>
      <w:r>
        <w:rPr>
          <w:rFonts w:hint="eastAsia" w:ascii="仿宋_GB2312" w:hAnsi="仿宋_GB2312" w:eastAsia="仿宋_GB2312" w:cs="仿宋_GB2312"/>
          <w:b/>
          <w:bCs/>
          <w:sz w:val="32"/>
          <w:szCs w:val="32"/>
          <w:lang w:val="en-US" w:eastAsia="zh-CN"/>
        </w:rPr>
        <w:t>如主管部门查实投标文件中存在虚假资料的，无论相关资料是否由第三方或本公司员工提供，均不影响主管部门对供应商存在“隐瞒真实情况，提供虚假资料”违法行为的认定。</w:t>
      </w:r>
    </w:p>
    <w:p w14:paraId="6CDA4D7A">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（二）对于涉及国家机关出具的公文、证件、证明材料等文件，一旦涉嫌虚假，经查实，主管部门将依法从严处理，并移送有关部门追究法律责任；涉嫌犯罪的，主管部门将一并移送司法机关追究法律责任。</w:t>
      </w:r>
    </w:p>
    <w:p w14:paraId="700CC52E">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（三）对于涉及安全生产、特种作业、抢险救灾、防疫等政府采购项目，供应商实施提供虚假资料、串通投标等违法行为的，主管部门将依法从严处理。 </w:t>
      </w:r>
    </w:p>
    <w:p w14:paraId="7B45F7D9">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（四）供应商应严格规范项目授权代表、员工参与招标投标的行为，加强对投标文件的审核。项目授权代表、员工</w:t>
      </w:r>
      <w:r>
        <w:rPr>
          <w:rFonts w:hint="eastAsia" w:ascii="仿宋_GB2312" w:hAnsi="Times New Roman" w:eastAsia="仿宋_GB2312" w:cs="Times New Roman"/>
          <w:sz w:val="32"/>
          <w:szCs w:val="32"/>
          <w:lang w:eastAsia="zh-CN"/>
        </w:rPr>
        <w:t>编制、上传</w:t>
      </w:r>
      <w:r>
        <w:rPr>
          <w:rFonts w:hint="eastAsia" w:ascii="仿宋_GB2312" w:hAnsi="仿宋_GB2312" w:eastAsia="仿宋_GB2312" w:cs="仿宋_GB2312"/>
          <w:sz w:val="32"/>
          <w:szCs w:val="32"/>
          <w:lang w:val="en-US" w:eastAsia="zh-CN"/>
        </w:rPr>
        <w:t>投标文件</w:t>
      </w:r>
      <w:r>
        <w:rPr>
          <w:rFonts w:hint="eastAsia" w:ascii="仿宋_GB2312" w:hAnsi="Times New Roman" w:eastAsia="仿宋_GB2312" w:cs="Times New Roman"/>
          <w:sz w:val="32"/>
          <w:szCs w:val="32"/>
          <w:lang w:eastAsia="zh-CN"/>
        </w:rPr>
        <w:t>等行为</w:t>
      </w:r>
      <w:r>
        <w:rPr>
          <w:rFonts w:hint="eastAsia" w:ascii="仿宋_GB2312" w:hAnsi="仿宋_GB2312" w:eastAsia="仿宋_GB2312" w:cs="仿宋_GB2312"/>
          <w:sz w:val="32"/>
          <w:szCs w:val="32"/>
          <w:lang w:val="en-US" w:eastAsia="zh-CN"/>
        </w:rPr>
        <w:t>违反政府采购法律法规或招标文件要求的，投标供应商应当依法承担相应法律责任。</w:t>
      </w:r>
    </w:p>
    <w:p w14:paraId="70FBA60E">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14:paraId="40BA828F">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lang w:val="en-US" w:eastAsia="zh-CN"/>
        </w:rPr>
        <w:t>（六）</w:t>
      </w:r>
      <w:r>
        <w:rPr>
          <w:rFonts w:hint="eastAsia" w:ascii="仿宋_GB2312" w:hAnsi="仿宋_GB2312" w:eastAsia="仿宋_GB2312" w:cs="仿宋_GB2312"/>
          <w:b w:val="0"/>
          <w:bCs w:val="0"/>
          <w:sz w:val="32"/>
          <w:szCs w:val="32"/>
          <w:highlight w:val="none"/>
          <w:lang w:val="en-US" w:eastAsia="zh-CN"/>
        </w:rPr>
        <w:t>单位负责人为同一人或者存在直接控股、管理关系的不同供应商，不得参加同一合同项下的政府采购活动。相关情形</w:t>
      </w:r>
      <w:r>
        <w:rPr>
          <w:rFonts w:hint="eastAsia" w:ascii="仿宋_GB2312" w:hAnsi="Times New Roman" w:eastAsia="仿宋_GB2312" w:cs="Times New Roman"/>
          <w:sz w:val="32"/>
          <w:szCs w:val="32"/>
          <w:lang w:eastAsia="zh-CN"/>
        </w:rPr>
        <w:t>如</w:t>
      </w:r>
      <w:r>
        <w:rPr>
          <w:rFonts w:hint="eastAsia" w:ascii="仿宋_GB2312" w:hAnsi="仿宋_GB2312" w:eastAsia="仿宋_GB2312" w:cs="仿宋_GB2312"/>
          <w:b w:val="0"/>
          <w:bCs w:val="0"/>
          <w:sz w:val="32"/>
          <w:szCs w:val="32"/>
          <w:highlight w:val="none"/>
          <w:lang w:val="en-US" w:eastAsia="zh-CN"/>
        </w:rPr>
        <w:t>查实，依法作投标无效处理；涉嫌串通投标等违法行为的，主管部门将依法调查处理。</w:t>
      </w:r>
    </w:p>
    <w:p w14:paraId="0AA72B07">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四、本公司已充分知悉</w:t>
      </w:r>
      <w:r>
        <w:rPr>
          <w:rFonts w:hint="eastAsia" w:ascii="黑体" w:hAnsi="黑体" w:eastAsia="黑体" w:cs="黑体"/>
          <w:b w:val="0"/>
          <w:bCs w:val="0"/>
          <w:sz w:val="32"/>
          <w:szCs w:val="32"/>
          <w:highlight w:val="none"/>
          <w:u w:val="none"/>
          <w:lang w:val="en-US" w:eastAsia="zh-CN"/>
        </w:rPr>
        <w:t>政府采购违法、违规行为</w:t>
      </w:r>
      <w:r>
        <w:rPr>
          <w:rFonts w:hint="eastAsia" w:ascii="黑体" w:hAnsi="黑体" w:eastAsia="黑体" w:cs="黑体"/>
          <w:b w:val="0"/>
          <w:bCs w:val="0"/>
          <w:sz w:val="32"/>
          <w:szCs w:val="32"/>
          <w:highlight w:val="none"/>
          <w:lang w:val="en-US" w:eastAsia="zh-CN"/>
        </w:rPr>
        <w:t>的法律后果</w:t>
      </w:r>
    </w:p>
    <w:p w14:paraId="554179D4">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lang w:val="en-US" w:eastAsia="zh-CN"/>
        </w:rPr>
        <w:t>经查实，若投标供应商存在</w:t>
      </w:r>
      <w:r>
        <w:rPr>
          <w:rFonts w:hint="eastAsia" w:ascii="仿宋_GB2312" w:hAnsi="仿宋_GB2312" w:eastAsia="仿宋_GB2312" w:cs="仿宋_GB2312"/>
          <w:sz w:val="32"/>
          <w:szCs w:val="32"/>
          <w:u w:val="none"/>
          <w:lang w:val="en-US" w:eastAsia="zh-CN"/>
        </w:rPr>
        <w:t>政府采购违法、违规行为</w:t>
      </w:r>
      <w:r>
        <w:rPr>
          <w:rFonts w:hint="eastAsia" w:ascii="仿宋_GB2312" w:hAnsi="仿宋_GB2312" w:eastAsia="仿宋_GB2312" w:cs="仿宋_GB2312"/>
          <w:sz w:val="32"/>
          <w:szCs w:val="32"/>
          <w:lang w:val="en-US" w:eastAsia="zh-CN"/>
        </w:rPr>
        <w:t>，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14:paraId="5106543F">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以下文字请投标供应商抄写并确认：“本公司已仔细阅读《政府采购违法行为风险知悉确认书》，充分知悉违法行为的法律后果，并承诺将</w:t>
      </w:r>
      <w:r>
        <w:rPr>
          <w:rFonts w:hint="eastAsia" w:ascii="仿宋_GB2312" w:hAnsi="仿宋_GB2312" w:eastAsia="仿宋_GB2312" w:cs="仿宋_GB2312"/>
          <w:b w:val="0"/>
          <w:bCs w:val="0"/>
          <w:sz w:val="32"/>
          <w:szCs w:val="32"/>
          <w:lang w:val="en-US" w:eastAsia="zh-CN"/>
        </w:rPr>
        <w:t>严谨、诚信、依法依规参与政府采购活动</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val="0"/>
          <w:bCs w:val="0"/>
          <w:sz w:val="32"/>
          <w:szCs w:val="32"/>
          <w:lang w:val="en-US" w:eastAsia="zh-CN"/>
        </w:rPr>
        <w:t>。</w:t>
      </w:r>
    </w:p>
    <w:p w14:paraId="3C65EDFF">
      <w:pPr>
        <w:keepNext w:val="0"/>
        <w:keepLines w:val="0"/>
        <w:pageBreakBefore w:val="0"/>
        <w:numPr>
          <w:ilvl w:val="0"/>
          <w:numId w:val="0"/>
        </w:numPr>
        <w:kinsoku/>
        <w:overflowPunct/>
        <w:topLinePunct w:val="0"/>
        <w:autoSpaceDE/>
        <w:autoSpaceDN/>
        <w:bidi w:val="0"/>
        <w:adjustRightInd/>
        <w:snapToGrid/>
        <w:spacing w:beforeLines="0" w:afterLines="0" w:line="579"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u w:val="single"/>
          <w:lang w:val="en-US" w:eastAsia="zh-CN"/>
        </w:rPr>
        <w:t xml:space="preserve">                                                    </w:t>
      </w:r>
    </w:p>
    <w:p w14:paraId="13AE6024">
      <w:pPr>
        <w:keepNext w:val="0"/>
        <w:keepLines w:val="0"/>
        <w:pageBreakBefore w:val="0"/>
        <w:numPr>
          <w:ilvl w:val="0"/>
          <w:numId w:val="0"/>
        </w:numPr>
        <w:kinsoku/>
        <w:overflowPunct/>
        <w:topLinePunct w:val="0"/>
        <w:autoSpaceDE/>
        <w:autoSpaceDN/>
        <w:bidi w:val="0"/>
        <w:adjustRightInd/>
        <w:snapToGrid/>
        <w:spacing w:beforeLines="0" w:afterLines="0" w:line="579" w:lineRule="exac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70888CFE">
      <w:pPr>
        <w:keepNext w:val="0"/>
        <w:keepLines w:val="0"/>
        <w:pageBreakBefore w:val="0"/>
        <w:numPr>
          <w:ilvl w:val="0"/>
          <w:numId w:val="0"/>
        </w:numPr>
        <w:kinsoku/>
        <w:overflowPunct/>
        <w:topLinePunct w:val="0"/>
        <w:autoSpaceDE/>
        <w:autoSpaceDN/>
        <w:bidi w:val="0"/>
        <w:adjustRightInd/>
        <w:snapToGrid/>
        <w:spacing w:beforeLines="0" w:afterLines="0" w:line="579" w:lineRule="exac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72DEECE7">
      <w:pPr>
        <w:keepNext w:val="0"/>
        <w:keepLines w:val="0"/>
        <w:pageBreakBefore w:val="0"/>
        <w:numPr>
          <w:ilvl w:val="0"/>
          <w:numId w:val="0"/>
        </w:numPr>
        <w:kinsoku/>
        <w:overflowPunct/>
        <w:topLinePunct w:val="0"/>
        <w:autoSpaceDE/>
        <w:autoSpaceDN/>
        <w:bidi w:val="0"/>
        <w:adjustRightInd/>
        <w:snapToGrid/>
        <w:spacing w:beforeLines="0" w:afterLines="0" w:line="579" w:lineRule="exact"/>
        <w:textAlignment w:val="auto"/>
        <w:rPr>
          <w:rFonts w:hint="eastAsia" w:asciiTheme="minorHAnsi" w:hAnsiTheme="minorHAnsi" w:eastAsiaTheme="minorEastAsia" w:cstheme="minorBidi"/>
          <w:u w:val="none"/>
          <w:lang w:val="en-US" w:eastAsia="zh-CN"/>
        </w:rPr>
      </w:pPr>
      <w:r>
        <w:rPr>
          <w:rFonts w:hint="eastAsia" w:ascii="仿宋_GB2312" w:hAnsi="仿宋_GB2312" w:eastAsia="仿宋_GB2312" w:cs="仿宋_GB2312"/>
          <w:sz w:val="32"/>
          <w:szCs w:val="32"/>
          <w:u w:val="single"/>
          <w:lang w:val="en-US" w:eastAsia="zh-CN"/>
        </w:rPr>
        <w:t xml:space="preserve">                                                    </w:t>
      </w:r>
    </w:p>
    <w:p w14:paraId="38A99AA6">
      <w:pPr>
        <w:keepNext w:val="0"/>
        <w:keepLines w:val="0"/>
        <w:pageBreakBefore w:val="0"/>
        <w:numPr>
          <w:ilvl w:val="0"/>
          <w:numId w:val="0"/>
        </w:numPr>
        <w:kinsoku/>
        <w:overflowPunct/>
        <w:topLinePunct w:val="0"/>
        <w:autoSpaceDE/>
        <w:autoSpaceDN/>
        <w:bidi w:val="0"/>
        <w:adjustRightInd/>
        <w:snapToGrid/>
        <w:spacing w:beforeLines="0" w:afterLines="0" w:line="579" w:lineRule="exact"/>
        <w:textAlignment w:val="auto"/>
        <w:rPr>
          <w:rFonts w:hint="default" w:ascii="仿宋_GB2312" w:hAnsi="仿宋_GB2312" w:eastAsia="仿宋_GB2312" w:cs="仿宋_GB2312"/>
          <w:sz w:val="32"/>
          <w:szCs w:val="32"/>
          <w:highlight w:val="yellow"/>
          <w:lang w:val="en-US" w:eastAsia="zh-CN"/>
        </w:rPr>
      </w:pPr>
    </w:p>
    <w:p w14:paraId="03491A22">
      <w:pPr>
        <w:keepNext w:val="0"/>
        <w:keepLines w:val="0"/>
        <w:pageBreakBefore w:val="0"/>
        <w:numPr>
          <w:ilvl w:val="0"/>
          <w:numId w:val="0"/>
        </w:numPr>
        <w:kinsoku/>
        <w:overflowPunct/>
        <w:topLinePunct w:val="0"/>
        <w:autoSpaceDE/>
        <w:autoSpaceDN/>
        <w:bidi w:val="0"/>
        <w:adjustRightInd/>
        <w:snapToGrid/>
        <w:spacing w:beforeLines="0" w:afterLines="0" w:line="579"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负责人/投标授权代表签名：</w:t>
      </w:r>
    </w:p>
    <w:p w14:paraId="66D4B75A">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3200" w:firstLineChars="10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知悉人（公章）：</w:t>
      </w:r>
    </w:p>
    <w:p w14:paraId="23BB016C">
      <w:pPr>
        <w:keepNext w:val="0"/>
        <w:keepLines w:val="0"/>
        <w:pageBreakBefore w:val="0"/>
        <w:kinsoku/>
        <w:overflowPunct/>
        <w:topLinePunct w:val="0"/>
        <w:autoSpaceDE/>
        <w:autoSpaceDN/>
        <w:bidi w:val="0"/>
        <w:adjustRightInd/>
        <w:snapToGrid/>
        <w:spacing w:beforeLines="0" w:afterLines="0" w:line="579" w:lineRule="exact"/>
        <w:textAlignment w:val="auto"/>
        <w:rPr>
          <w:rFonts w:ascii="Times New Roman" w:hAnsi="Times New Roman" w:eastAsia="宋体" w:cs="Times New Roman"/>
          <w:sz w:val="32"/>
          <w:szCs w:val="32"/>
        </w:rPr>
      </w:pPr>
      <w:r>
        <w:rPr>
          <w:rFonts w:hint="eastAsia" w:ascii="仿宋_GB2312" w:hAnsi="仿宋_GB2312" w:eastAsia="仿宋_GB2312" w:cs="仿宋_GB2312"/>
          <w:sz w:val="32"/>
          <w:szCs w:val="32"/>
          <w:lang w:val="en-US" w:eastAsia="zh-CN"/>
        </w:rPr>
        <w:t xml:space="preserve">                    日期：</w:t>
      </w:r>
    </w:p>
    <w:p w14:paraId="7A3D544B">
      <w:pPr>
        <w:keepNext w:val="0"/>
        <w:keepLines w:val="0"/>
        <w:pageBreakBefore w:val="0"/>
        <w:kinsoku/>
        <w:overflowPunct/>
        <w:topLinePunct w:val="0"/>
        <w:autoSpaceDE/>
        <w:autoSpaceDN/>
        <w:bidi w:val="0"/>
        <w:adjustRightInd/>
        <w:snapToGrid/>
        <w:spacing w:line="579" w:lineRule="exact"/>
        <w:textAlignment w:val="auto"/>
        <w:rPr>
          <w:rFonts w:hint="default" w:asciiTheme="minorHAnsi" w:hAnsiTheme="minorHAnsi" w:eastAsiaTheme="minorEastAsia" w:cstheme="minorBidi"/>
          <w:lang w:val="en-US" w:eastAsia="zh-CN"/>
        </w:rPr>
      </w:pPr>
      <w:r>
        <w:rPr>
          <w:rFonts w:hint="default" w:asciiTheme="minorHAnsi" w:hAnsiTheme="minorHAnsi" w:eastAsiaTheme="minorEastAsia" w:cstheme="minorBidi"/>
          <w:lang w:val="en-US" w:eastAsia="zh-CN"/>
        </w:rPr>
        <w:br w:type="page"/>
      </w:r>
    </w:p>
    <w:p w14:paraId="0E8075D1">
      <w:pPr>
        <w:keepNext w:val="0"/>
        <w:keepLines w:val="0"/>
        <w:pageBreakBefore w:val="0"/>
        <w:kinsoku/>
        <w:wordWrap w:val="0"/>
        <w:overflowPunct/>
        <w:topLinePunct w:val="0"/>
        <w:autoSpaceDE/>
        <w:autoSpaceDN/>
        <w:bidi w:val="0"/>
        <w:adjustRightInd/>
        <w:snapToGrid/>
        <w:spacing w:beforeLines="0" w:afterLines="0" w:line="579" w:lineRule="exact"/>
        <w:ind w:firstLine="0" w:firstLineChars="0"/>
        <w:jc w:val="both"/>
        <w:textAlignment w:val="auto"/>
        <w:outlineLvl w:val="0"/>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rPr>
        <w:t>附件</w:t>
      </w:r>
      <w:r>
        <w:rPr>
          <w:rFonts w:hint="eastAsia" w:ascii="黑体" w:hAnsi="黑体" w:eastAsia="黑体" w:cs="黑体"/>
          <w:bCs/>
          <w:sz w:val="32"/>
          <w:szCs w:val="32"/>
          <w:highlight w:val="none"/>
          <w:lang w:val="en-US" w:eastAsia="zh-CN"/>
        </w:rPr>
        <w:t>4</w:t>
      </w:r>
    </w:p>
    <w:p w14:paraId="5C19E3CE">
      <w:pPr>
        <w:keepNext w:val="0"/>
        <w:keepLines w:val="0"/>
        <w:pageBreakBefore w:val="0"/>
        <w:widowControl/>
        <w:kinsoku/>
        <w:wordWrap/>
        <w:overflowPunct/>
        <w:topLinePunct w:val="0"/>
        <w:autoSpaceDE/>
        <w:autoSpaceDN/>
        <w:bidi w:val="0"/>
        <w:adjustRightInd/>
        <w:snapToGrid/>
        <w:spacing w:beforeLines="0" w:afterLines="0" w:line="579" w:lineRule="exact"/>
        <w:ind w:firstLine="0" w:firstLineChars="0"/>
        <w:jc w:val="center"/>
        <w:textAlignment w:val="auto"/>
        <w:outlineLvl w:val="0"/>
        <w:rPr>
          <w:rFonts w:hint="eastAsia" w:ascii="方正小标宋_GBK" w:hAnsi="方正小标宋_GBK" w:eastAsia="方正小标宋_GBK" w:cs="方正小标宋_GBK"/>
          <w:spacing w:val="-2"/>
          <w:sz w:val="44"/>
          <w:szCs w:val="44"/>
          <w:highlight w:val="none"/>
          <w:lang w:eastAsia="zh-CN"/>
        </w:rPr>
      </w:pPr>
      <w:r>
        <w:rPr>
          <w:rFonts w:hint="eastAsia" w:ascii="方正小标宋_GBK" w:hAnsi="方正小标宋_GBK" w:eastAsia="方正小标宋_GBK" w:cs="方正小标宋_GBK"/>
          <w:spacing w:val="-2"/>
          <w:sz w:val="44"/>
          <w:szCs w:val="44"/>
          <w:highlight w:val="none"/>
          <w:lang w:eastAsia="zh-CN"/>
        </w:rPr>
        <w:t>履约承诺函</w:t>
      </w:r>
    </w:p>
    <w:p w14:paraId="13BC9CC5">
      <w:pPr>
        <w:keepNext w:val="0"/>
        <w:keepLines w:val="0"/>
        <w:pageBreakBefore w:val="0"/>
        <w:widowControl w:val="0"/>
        <w:kinsoku/>
        <w:overflowPunct/>
        <w:topLinePunct w:val="0"/>
        <w:autoSpaceDE/>
        <w:autoSpaceDN/>
        <w:bidi w:val="0"/>
        <w:adjustRightInd/>
        <w:snapToGrid/>
        <w:spacing w:line="579" w:lineRule="exact"/>
        <w:ind w:firstLine="440" w:firstLineChars="100"/>
        <w:jc w:val="center"/>
        <w:textAlignment w:val="auto"/>
        <w:rPr>
          <w:rFonts w:hint="eastAsia" w:ascii="宋体" w:hAnsi="Times New Roman" w:eastAsia="宋体" w:cs="Times New Roman"/>
          <w:kern w:val="2"/>
          <w:sz w:val="44"/>
          <w:szCs w:val="24"/>
          <w:lang w:val="en-US" w:eastAsia="zh-CN" w:bidi="ar-SA"/>
        </w:rPr>
      </w:pPr>
    </w:p>
    <w:p w14:paraId="03139B5F">
      <w:pPr>
        <w:keepNext w:val="0"/>
        <w:keepLines w:val="0"/>
        <w:pageBreakBefore w:val="0"/>
        <w:widowControl w:val="0"/>
        <w:kinsoku/>
        <w:wordWrap/>
        <w:overflowPunct/>
        <w:topLinePunct w:val="0"/>
        <w:autoSpaceDE/>
        <w:autoSpaceDN/>
        <w:bidi w:val="0"/>
        <w:adjustRightInd/>
        <w:snapToGrid/>
        <w:spacing w:beforeLines="0" w:afterLines="0" w:line="579" w:lineRule="exac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致：</w:t>
      </w:r>
      <w:r>
        <w:rPr>
          <w:rFonts w:hint="eastAsia" w:ascii="仿宋_GB2312" w:hAnsi="仿宋_GB2312" w:eastAsia="仿宋_GB2312" w:cs="仿宋_GB2312"/>
          <w:b w:val="0"/>
          <w:bCs w:val="0"/>
          <w:color w:val="auto"/>
          <w:sz w:val="32"/>
          <w:szCs w:val="32"/>
          <w:highlight w:val="none"/>
          <w:u w:val="none"/>
          <w:lang w:eastAsia="zh-CN"/>
        </w:rPr>
        <w:t>深圳市福田区沙头街道办事处</w:t>
      </w:r>
    </w:p>
    <w:p w14:paraId="4C08B1DB">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我单位承诺：</w:t>
      </w:r>
    </w:p>
    <w:p w14:paraId="62229818">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1.我单位参与本项目所投标（响应）的货物、工程或服务，不存在侵犯知识产权的情况。</w:t>
      </w:r>
    </w:p>
    <w:p w14:paraId="2D223BAE">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2.我单位参与本项目政府采购活动时不存在被有关部门禁止参与政府采购活动且在有效期内的情况。</w:t>
      </w:r>
    </w:p>
    <w:p w14:paraId="414D3620">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3.我单位具备《中华人民共和国政府采购法》第二十二条第一款规定的六项条件。</w:t>
      </w:r>
    </w:p>
    <w:p w14:paraId="36E36E91">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4.我单位未被列入失信被执行人、重大税收违法案件当事人名单（重大税收违法失信主体）、政府采购严重违法失信行为记录名单。</w:t>
      </w:r>
    </w:p>
    <w:p w14:paraId="601A0111">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bookmarkStart w:id="0" w:name="_Hlk72587269"/>
      <w:bookmarkStart w:id="1" w:name="_Hlk72587299"/>
      <w:r>
        <w:rPr>
          <w:rFonts w:hint="eastAsia" w:ascii="仿宋_GB2312" w:hAnsi="仿宋_GB2312" w:eastAsia="仿宋_GB2312" w:cs="仿宋_GB2312"/>
          <w:color w:val="auto"/>
          <w:sz w:val="32"/>
          <w:szCs w:val="32"/>
        </w:rPr>
        <w:t>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bookmarkEnd w:id="0"/>
      <w:r>
        <w:rPr>
          <w:rFonts w:hint="eastAsia" w:ascii="仿宋_GB2312" w:hAnsi="仿宋_GB2312" w:eastAsia="仿宋_GB2312" w:cs="仿宋_GB2312"/>
          <w:color w:val="auto"/>
          <w:sz w:val="32"/>
          <w:szCs w:val="32"/>
        </w:rPr>
        <w:t>。</w:t>
      </w:r>
    </w:p>
    <w:bookmarkEnd w:id="1"/>
    <w:p w14:paraId="67CB22FD">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0172D609">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5FA8AF99">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5B292F26">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8.我单位承诺中标后项目不转包，未经采购人同意不进行分包。</w:t>
      </w:r>
    </w:p>
    <w:p w14:paraId="40BA9296">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9.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7ACDDD8A">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10.我单位保证，若所投货物涉及《财政部生态环境部关于印发节能产品政府采购品目清单的通知》（财库〔2019〕19号）列明的政府采购强制产品，则所投该产品符合节能产品的认证要求。</w:t>
      </w:r>
    </w:p>
    <w:p w14:paraId="6A97E454">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11.我单位已知悉并同意中标（成交）结果信息公示（公开）的内容。</w:t>
      </w:r>
    </w:p>
    <w:p w14:paraId="72C0C9E3">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12.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w:t>
      </w:r>
    </w:p>
    <w:p w14:paraId="2FE0E23F">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13.我单位清楚，如存在违反投标承诺行为情节严重的，将根据《深圳市财政局关于印发&lt;深圳市财政局政府采购供应商信用信息管理办法&gt;的通知》，依法被列入失信信息。</w:t>
      </w:r>
    </w:p>
    <w:p w14:paraId="64B51F40">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以上承诺，如有违反，愿依照国家相关法律法规处理，并承担由此给采购人带来的损失。</w:t>
      </w:r>
    </w:p>
    <w:p w14:paraId="6AC14E53">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p>
    <w:p w14:paraId="3AF4A7A8">
      <w:pPr>
        <w:keepNext w:val="0"/>
        <w:keepLines w:val="0"/>
        <w:pageBreakBefore w:val="0"/>
        <w:widowControl w:val="0"/>
        <w:kinsoku/>
        <w:wordWrap/>
        <w:overflowPunct/>
        <w:topLinePunct w:val="0"/>
        <w:autoSpaceDE/>
        <w:autoSpaceDN/>
        <w:bidi w:val="0"/>
        <w:adjustRightInd/>
        <w:snapToGrid/>
        <w:spacing w:beforeLines="0" w:afterLines="0" w:line="579" w:lineRule="exact"/>
        <w:ind w:firstLine="4480" w:firstLineChars="14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投标人：              </w:t>
      </w:r>
    </w:p>
    <w:p w14:paraId="0EBBE8B0">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微软雅黑" w:hAnsi="微软雅黑" w:eastAsia="微软雅黑" w:cs="Times New Roman"/>
          <w:color w:val="000000"/>
          <w:sz w:val="32"/>
          <w:szCs w:val="32"/>
        </w:rPr>
      </w:pPr>
      <w:r>
        <w:rPr>
          <w:rFonts w:hint="eastAsia" w:ascii="仿宋_GB2312" w:hAnsi="仿宋_GB2312" w:eastAsia="仿宋_GB2312" w:cs="仿宋_GB2312"/>
          <w:color w:val="auto"/>
          <w:sz w:val="32"/>
          <w:szCs w:val="32"/>
        </w:rPr>
        <w:t xml:space="preserve">                        日期：    年   月   日</w:t>
      </w:r>
    </w:p>
    <w:p w14:paraId="1B4B620B">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b w:val="0"/>
          <w:bCs/>
          <w:color w:val="auto"/>
          <w:sz w:val="32"/>
          <w:szCs w:val="32"/>
          <w:lang w:val="en-US" w:eastAsia="zh-CN"/>
        </w:rPr>
      </w:pPr>
    </w:p>
    <w:p w14:paraId="2A041A54">
      <w:pPr>
        <w:pStyle w:val="2"/>
        <w:rPr>
          <w:rFonts w:hint="eastAsia" w:ascii="仿宋_GB2312" w:hAnsi="仿宋_GB2312" w:eastAsia="仿宋_GB2312" w:cs="仿宋_GB2312"/>
          <w:b w:val="0"/>
          <w:bCs/>
          <w:color w:val="auto"/>
          <w:sz w:val="32"/>
          <w:szCs w:val="32"/>
          <w:lang w:val="en-US" w:eastAsia="zh-CN"/>
        </w:rPr>
      </w:pPr>
    </w:p>
    <w:p w14:paraId="1D479E7E">
      <w:pPr>
        <w:rPr>
          <w:rFonts w:hint="eastAsia" w:ascii="仿宋_GB2312" w:hAnsi="仿宋_GB2312" w:eastAsia="仿宋_GB2312" w:cs="仿宋_GB2312"/>
          <w:b w:val="0"/>
          <w:bCs/>
          <w:color w:val="auto"/>
          <w:sz w:val="32"/>
          <w:szCs w:val="32"/>
          <w:lang w:val="en-US" w:eastAsia="zh-CN"/>
        </w:rPr>
      </w:pPr>
    </w:p>
    <w:p w14:paraId="48D91DBC">
      <w:pPr>
        <w:pStyle w:val="2"/>
        <w:rPr>
          <w:rFonts w:hint="eastAsia" w:ascii="仿宋_GB2312" w:hAnsi="仿宋_GB2312" w:eastAsia="仿宋_GB2312" w:cs="仿宋_GB2312"/>
          <w:b w:val="0"/>
          <w:bCs/>
          <w:color w:val="auto"/>
          <w:sz w:val="32"/>
          <w:szCs w:val="32"/>
          <w:lang w:val="en-US" w:eastAsia="zh-CN"/>
        </w:rPr>
      </w:pPr>
    </w:p>
    <w:p w14:paraId="1A01668B">
      <w:pPr>
        <w:keepNext w:val="0"/>
        <w:keepLines w:val="0"/>
        <w:pageBreakBefore w:val="0"/>
        <w:kinsoku/>
        <w:wordWrap w:val="0"/>
        <w:overflowPunct/>
        <w:topLinePunct w:val="0"/>
        <w:autoSpaceDE/>
        <w:autoSpaceDN/>
        <w:bidi w:val="0"/>
        <w:adjustRightInd/>
        <w:snapToGrid/>
        <w:spacing w:line="579" w:lineRule="exact"/>
        <w:ind w:firstLine="0" w:firstLineChars="0"/>
        <w:jc w:val="both"/>
        <w:textAlignment w:val="auto"/>
        <w:outlineLvl w:val="0"/>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rPr>
        <w:t>附件</w:t>
      </w:r>
      <w:r>
        <w:rPr>
          <w:rFonts w:hint="eastAsia" w:ascii="黑体" w:hAnsi="黑体" w:eastAsia="黑体" w:cs="黑体"/>
          <w:bCs/>
          <w:sz w:val="32"/>
          <w:szCs w:val="32"/>
          <w:highlight w:val="none"/>
          <w:lang w:val="en-US" w:eastAsia="zh-CN"/>
        </w:rPr>
        <w:t>5</w:t>
      </w:r>
    </w:p>
    <w:p w14:paraId="01B3E61C">
      <w:pPr>
        <w:keepNext w:val="0"/>
        <w:keepLines w:val="0"/>
        <w:pageBreakBefore w:val="0"/>
        <w:widowControl/>
        <w:kinsoku/>
        <w:wordWrap/>
        <w:overflowPunct/>
        <w:topLinePunct w:val="0"/>
        <w:autoSpaceDE/>
        <w:autoSpaceDN/>
        <w:bidi w:val="0"/>
        <w:adjustRightInd/>
        <w:snapToGrid/>
        <w:spacing w:line="579" w:lineRule="exact"/>
        <w:ind w:firstLine="0" w:firstLineChars="0"/>
        <w:jc w:val="center"/>
        <w:textAlignment w:val="auto"/>
        <w:outlineLvl w:val="0"/>
        <w:rPr>
          <w:rFonts w:hint="eastAsia" w:ascii="方正小标宋_GBK" w:hAnsi="方正小标宋_GBK" w:eastAsia="方正小标宋_GBK" w:cs="方正小标宋_GBK"/>
          <w:spacing w:val="-2"/>
          <w:sz w:val="44"/>
          <w:szCs w:val="44"/>
          <w:highlight w:val="none"/>
          <w:lang w:eastAsia="zh-CN"/>
        </w:rPr>
      </w:pPr>
      <w:r>
        <w:rPr>
          <w:rFonts w:hint="eastAsia" w:ascii="方正小标宋_GBK" w:hAnsi="方正小标宋_GBK" w:eastAsia="方正小标宋_GBK" w:cs="方正小标宋_GBK"/>
          <w:spacing w:val="-2"/>
          <w:sz w:val="44"/>
          <w:szCs w:val="44"/>
          <w:highlight w:val="none"/>
          <w:lang w:eastAsia="zh-CN"/>
        </w:rPr>
        <w:t>诚信承诺函</w:t>
      </w:r>
    </w:p>
    <w:p w14:paraId="272C410E">
      <w:pPr>
        <w:keepNext w:val="0"/>
        <w:keepLines w:val="0"/>
        <w:pageBreakBefore w:val="0"/>
        <w:widowControl w:val="0"/>
        <w:kinsoku/>
        <w:wordWrap/>
        <w:overflowPunct/>
        <w:topLinePunct w:val="0"/>
        <w:autoSpaceDE/>
        <w:autoSpaceDN/>
        <w:bidi w:val="0"/>
        <w:adjustRightInd/>
        <w:snapToGrid/>
        <w:spacing w:line="579" w:lineRule="exact"/>
        <w:ind w:firstLine="440" w:firstLineChars="100"/>
        <w:jc w:val="center"/>
        <w:textAlignment w:val="auto"/>
        <w:rPr>
          <w:rFonts w:hint="eastAsia" w:ascii="宋体" w:hAnsi="Times New Roman" w:eastAsia="宋体" w:cs="Times New Roman"/>
          <w:kern w:val="2"/>
          <w:sz w:val="44"/>
          <w:szCs w:val="24"/>
          <w:lang w:val="en-US" w:eastAsia="zh-CN" w:bidi="ar-SA"/>
        </w:rPr>
      </w:pPr>
    </w:p>
    <w:p w14:paraId="1A68B4C5">
      <w:pPr>
        <w:keepNext w:val="0"/>
        <w:keepLines w:val="0"/>
        <w:pageBreakBefore w:val="0"/>
        <w:widowControl w:val="0"/>
        <w:kinsoku/>
        <w:wordWrap/>
        <w:overflowPunct/>
        <w:topLinePunct w:val="0"/>
        <w:autoSpaceDE/>
        <w:autoSpaceDN/>
        <w:bidi w:val="0"/>
        <w:adjustRightInd/>
        <w:snapToGrid/>
        <w:spacing w:line="579" w:lineRule="exact"/>
        <w:ind w:left="0" w:leftChars="0" w:firstLine="0" w:firstLineChars="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lang w:val="en-US" w:eastAsia="zh-CN" w:bidi="ar-SA"/>
        </w:rPr>
        <w:t>致：</w:t>
      </w:r>
      <w:r>
        <w:rPr>
          <w:rFonts w:hint="eastAsia" w:ascii="仿宋_GB2312" w:hAnsi="仿宋_GB2312" w:eastAsia="仿宋_GB2312" w:cs="仿宋_GB2312"/>
          <w:b w:val="0"/>
          <w:bCs w:val="0"/>
          <w:color w:val="auto"/>
          <w:kern w:val="2"/>
          <w:sz w:val="32"/>
          <w:szCs w:val="32"/>
          <w:highlight w:val="none"/>
          <w:u w:val="none"/>
          <w:lang w:val="en-US" w:eastAsia="zh-CN" w:bidi="ar-SA"/>
        </w:rPr>
        <w:t>深圳市福田区沙头街道办事处</w:t>
      </w:r>
    </w:p>
    <w:p w14:paraId="439CBFB7">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auto"/>
          <w:sz w:val="32"/>
          <w:szCs w:val="32"/>
          <w:highlight w:val="none"/>
          <w:u w:val="none"/>
          <w:lang w:eastAsia="zh-CN"/>
        </w:rPr>
      </w:pPr>
      <w:r>
        <w:rPr>
          <w:rFonts w:hint="eastAsia" w:ascii="仿宋_GB2312" w:hAnsi="仿宋_GB2312" w:eastAsia="仿宋_GB2312" w:cs="仿宋_GB2312"/>
          <w:b w:val="0"/>
          <w:bCs w:val="0"/>
          <w:color w:val="auto"/>
          <w:sz w:val="32"/>
          <w:szCs w:val="32"/>
          <w:highlight w:val="none"/>
          <w:u w:val="none"/>
          <w:lang w:eastAsia="zh-CN"/>
        </w:rPr>
        <w:t>我方承诺在政府采购招标投标活动中不存在以下情形：</w:t>
      </w:r>
    </w:p>
    <w:p w14:paraId="76C0FFAC">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（一）被纪检监察部门立案调查，违法违规事实成立的；</w:t>
      </w:r>
    </w:p>
    <w:p w14:paraId="503A8220">
      <w:pPr>
        <w:keepNext w:val="0"/>
        <w:keepLines w:val="0"/>
        <w:pageBreakBefore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（二）未按政府采购相关规定签订、履行采购合同，造成严重后果的；</w:t>
      </w:r>
    </w:p>
    <w:p w14:paraId="7EA9E4C9">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（三）隐瞒真实情况，提供虚假资料的；</w:t>
      </w:r>
    </w:p>
    <w:p w14:paraId="0CFA9D94">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（四）以非法手段排斥其他供应商参与竞争的；</w:t>
      </w:r>
    </w:p>
    <w:p w14:paraId="7C59F63E">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（五）与其他采购参加人串通投标的；</w:t>
      </w:r>
    </w:p>
    <w:p w14:paraId="214E5A79">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（六）在采购活动中应当回避而未回避的；</w:t>
      </w:r>
    </w:p>
    <w:p w14:paraId="15CBF439">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（七）恶意投诉的；</w:t>
      </w:r>
    </w:p>
    <w:p w14:paraId="2B5FB086">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（八）向采购项目相关人行贿或者提供其他不当利益的；</w:t>
      </w:r>
    </w:p>
    <w:p w14:paraId="4746A8CE">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（九）阻碍、抗拒主管部门监督检查的；</w:t>
      </w:r>
    </w:p>
    <w:p w14:paraId="1CAA407A">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（十）向采购代理机构及相关工作人员以各种形式进行施压的；</w:t>
      </w:r>
    </w:p>
    <w:p w14:paraId="25E579FB">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（十一）履约检查不合格或者评价为差的；</w:t>
      </w:r>
    </w:p>
    <w:p w14:paraId="70690D65">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（十二）主管部门认定的其他情形。</w:t>
      </w:r>
    </w:p>
    <w:p w14:paraId="077BF1B2">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如我方在本项目开标日前三年内存在上述行为超出法定追诉时效未被追诉、或者上述情节轻微给予禁止参加政府采购的行政处罚，我司自愿承担虚假应标以及其他一切不利的法律后果。</w:t>
      </w:r>
    </w:p>
    <w:p w14:paraId="18AAEB90">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特此承诺。</w:t>
      </w:r>
    </w:p>
    <w:p w14:paraId="76B04AB7">
      <w:pPr>
        <w:keepNext w:val="0"/>
        <w:keepLines w:val="0"/>
        <w:pageBreakBefore w:val="0"/>
        <w:widowControl w:val="0"/>
        <w:kinsoku/>
        <w:wordWrap/>
        <w:overflowPunct/>
        <w:topLinePunct w:val="0"/>
        <w:autoSpaceDE/>
        <w:autoSpaceDN/>
        <w:bidi w:val="0"/>
        <w:adjustRightInd/>
        <w:snapToGrid/>
        <w:spacing w:line="579" w:lineRule="exact"/>
        <w:ind w:firstLine="320" w:firstLineChars="100"/>
        <w:jc w:val="center"/>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p>
    <w:p w14:paraId="75472333">
      <w:pPr>
        <w:keepNext w:val="0"/>
        <w:keepLines w:val="0"/>
        <w:pageBreakBefore w:val="0"/>
        <w:kinsoku/>
        <w:wordWrap/>
        <w:overflowPunct/>
        <w:topLinePunct w:val="0"/>
        <w:autoSpaceDE/>
        <w:autoSpaceDN/>
        <w:bidi w:val="0"/>
        <w:adjustRightInd/>
        <w:snapToGrid/>
        <w:spacing w:line="579" w:lineRule="exact"/>
        <w:jc w:val="center"/>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 xml:space="preserve">          投标人：</w:t>
      </w:r>
    </w:p>
    <w:p w14:paraId="41E00828">
      <w:pPr>
        <w:keepNext w:val="0"/>
        <w:keepLines w:val="0"/>
        <w:pageBreakBefore w:val="0"/>
        <w:widowControl w:val="0"/>
        <w:kinsoku/>
        <w:wordWrap/>
        <w:overflowPunct/>
        <w:topLinePunct w:val="0"/>
        <w:autoSpaceDE/>
        <w:autoSpaceDN/>
        <w:bidi w:val="0"/>
        <w:adjustRightInd/>
        <w:snapToGrid/>
        <w:spacing w:line="579" w:lineRule="exact"/>
        <w:ind w:left="0" w:leftChars="0" w:firstLine="0" w:firstLineChars="0"/>
        <w:jc w:val="right"/>
        <w:textAlignment w:val="auto"/>
        <w:rPr>
          <w:rFonts w:hint="default" w:ascii="宋体" w:hAnsi="Times New Roman" w:eastAsia="宋体" w:cs="Times New Roman"/>
          <w:kern w:val="2"/>
          <w:sz w:val="44"/>
          <w:szCs w:val="24"/>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 xml:space="preserve">       日  期：   年    月    日</w:t>
      </w:r>
    </w:p>
    <w:p w14:paraId="71845281">
      <w:pPr>
        <w:pStyle w:val="2"/>
        <w:jc w:val="both"/>
      </w:pPr>
    </w:p>
    <w:p w14:paraId="1C170BCB">
      <w:pPr>
        <w:rPr>
          <w:rFonts w:hint="eastAsia" w:ascii="仿宋_GB2312" w:hAnsi="仿宋_GB2312" w:eastAsia="仿宋_GB2312" w:cs="仿宋_GB2312"/>
          <w:b w:val="0"/>
          <w:bCs/>
          <w:color w:val="auto"/>
          <w:sz w:val="32"/>
          <w:szCs w:val="32"/>
          <w:lang w:val="en-US" w:eastAsia="zh-CN"/>
        </w:rPr>
      </w:pPr>
    </w:p>
    <w:p w14:paraId="532DBCA3">
      <w:pPr>
        <w:pStyle w:val="2"/>
        <w:rPr>
          <w:rFonts w:hint="eastAsia"/>
          <w:lang w:val="en-US" w:eastAsia="zh-CN"/>
        </w:rPr>
      </w:pPr>
    </w:p>
    <w:p w14:paraId="01C98E4C">
      <w:pPr>
        <w:pStyle w:val="2"/>
        <w:rPr>
          <w:rFonts w:hint="eastAsia" w:ascii="仿宋_GB2312" w:hAnsi="仿宋_GB2312" w:eastAsia="仿宋_GB2312" w:cs="仿宋_GB2312"/>
          <w:b w:val="0"/>
          <w:bCs/>
          <w:color w:val="auto"/>
          <w:sz w:val="32"/>
          <w:szCs w:val="32"/>
          <w:lang w:val="en-US" w:eastAsia="zh-CN"/>
        </w:rPr>
      </w:pPr>
    </w:p>
    <w:p w14:paraId="6A8A5B4F">
      <w:pPr>
        <w:rPr>
          <w:rFonts w:hint="eastAsia" w:ascii="仿宋_GB2312" w:hAnsi="仿宋_GB2312" w:eastAsia="仿宋_GB2312" w:cs="仿宋_GB2312"/>
          <w:b w:val="0"/>
          <w:bCs/>
          <w:color w:val="auto"/>
          <w:sz w:val="32"/>
          <w:szCs w:val="32"/>
          <w:lang w:val="en-US" w:eastAsia="zh-CN"/>
        </w:rPr>
      </w:pPr>
    </w:p>
    <w:p w14:paraId="798C4982">
      <w:pPr>
        <w:pStyle w:val="2"/>
        <w:rPr>
          <w:rFonts w:hint="eastAsia"/>
          <w:lang w:val="en-US" w:eastAsia="zh-CN"/>
        </w:rPr>
      </w:pPr>
    </w:p>
    <w:p w14:paraId="45AE56DA">
      <w:pPr>
        <w:rPr>
          <w:rFonts w:hint="default"/>
          <w:lang w:val="en-US" w:eastAsia="zh-CN"/>
        </w:rPr>
      </w:pPr>
    </w:p>
    <w:sectPr>
      <w:footerReference r:id="rId3" w:type="default"/>
      <w:pgSz w:w="11906" w:h="16838"/>
      <w:pgMar w:top="2098" w:right="1474" w:bottom="1984" w:left="1587" w:header="851" w:footer="850"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F9D50D7-43C6-4BCC-90FF-991531FFDBF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D5F6C850-4B36-4E6F-8694-486268BA367D}"/>
  </w:font>
  <w:font w:name="仿宋_GB2312">
    <w:panose1 w:val="02010609030101010101"/>
    <w:charset w:val="86"/>
    <w:family w:val="auto"/>
    <w:pitch w:val="default"/>
    <w:sig w:usb0="00000001" w:usb1="080E0000" w:usb2="00000000" w:usb3="00000000" w:csb0="00040000" w:csb1="00000000"/>
    <w:embedRegular r:id="rId3" w:fontKey="{F4D373EE-A1C0-4649-B786-EA6A9171ED86}"/>
  </w:font>
  <w:font w:name="方正小标宋简体">
    <w:panose1 w:val="03000509000000000000"/>
    <w:charset w:val="86"/>
    <w:family w:val="auto"/>
    <w:pitch w:val="default"/>
    <w:sig w:usb0="00000001" w:usb1="080E0000" w:usb2="00000000" w:usb3="00000000" w:csb0="00040000" w:csb1="00000000"/>
    <w:embedRegular r:id="rId4" w:fontKey="{00AA9F23-F284-400D-8186-034F8D9B8812}"/>
  </w:font>
  <w:font w:name="方正大标宋简体">
    <w:panose1 w:val="03000509000000000000"/>
    <w:charset w:val="86"/>
    <w:family w:val="auto"/>
    <w:pitch w:val="default"/>
    <w:sig w:usb0="00000001" w:usb1="080E0000" w:usb2="00000000" w:usb3="00000000" w:csb0="00040000" w:csb1="00000000"/>
    <w:embedRegular r:id="rId5" w:fontKey="{F41E1A66-C805-41A3-9D4A-76B0438ABAA0}"/>
  </w:font>
  <w:font w:name="方正小标宋_GBK">
    <w:panose1 w:val="03000509000000000000"/>
    <w:charset w:val="86"/>
    <w:family w:val="script"/>
    <w:pitch w:val="default"/>
    <w:sig w:usb0="00000001" w:usb1="080E0000" w:usb2="00000000" w:usb3="00000000" w:csb0="00040000" w:csb1="00000000"/>
    <w:embedRegular r:id="rId6" w:fontKey="{777A8308-BCA1-4A7A-B79C-68D05077CFB6}"/>
  </w:font>
  <w:font w:name="微软雅黑">
    <w:panose1 w:val="020B0503020204020204"/>
    <w:charset w:val="86"/>
    <w:family w:val="auto"/>
    <w:pitch w:val="default"/>
    <w:sig w:usb0="80000287" w:usb1="280F3C52" w:usb2="00000016" w:usb3="00000000" w:csb0="0004001F" w:csb1="00000000"/>
    <w:embedRegular r:id="rId7" w:fontKey="{8E711FA2-FF95-418D-9342-F3E51426507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725C6">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4D210">
                          <w:pPr>
                            <w:pStyle w:val="7"/>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774D210">
                    <w:pPr>
                      <w:pStyle w:val="7"/>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1BBBC9"/>
    <w:multiLevelType w:val="singleLevel"/>
    <w:tmpl w:val="601BBBC9"/>
    <w:lvl w:ilvl="0" w:tentative="0">
      <w:start w:val="2"/>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wYTA1ZWY1NmU0ODUwMzc4ZDk5MzExMzQxNGRiMmIifQ=="/>
    <w:docVar w:name="KSO_WPS_MARK_KEY" w:val="c7d764fd-9a48-48d4-9485-5ad4620b07f9"/>
  </w:docVars>
  <w:rsids>
    <w:rsidRoot w:val="00000000"/>
    <w:rsid w:val="001570FF"/>
    <w:rsid w:val="00B701B7"/>
    <w:rsid w:val="01066A48"/>
    <w:rsid w:val="013E2686"/>
    <w:rsid w:val="01455947"/>
    <w:rsid w:val="019D73AC"/>
    <w:rsid w:val="01F8160D"/>
    <w:rsid w:val="02367483"/>
    <w:rsid w:val="02E17DB9"/>
    <w:rsid w:val="03C64BCF"/>
    <w:rsid w:val="03CA1FAF"/>
    <w:rsid w:val="045C140A"/>
    <w:rsid w:val="04C44C50"/>
    <w:rsid w:val="04E006B3"/>
    <w:rsid w:val="051D7BF3"/>
    <w:rsid w:val="06914C06"/>
    <w:rsid w:val="06982838"/>
    <w:rsid w:val="06D373CC"/>
    <w:rsid w:val="06EF3637"/>
    <w:rsid w:val="07354470"/>
    <w:rsid w:val="07746E01"/>
    <w:rsid w:val="08204893"/>
    <w:rsid w:val="08362309"/>
    <w:rsid w:val="093D1475"/>
    <w:rsid w:val="09B434E5"/>
    <w:rsid w:val="09FC6C3A"/>
    <w:rsid w:val="09FE6E56"/>
    <w:rsid w:val="0A4C7C89"/>
    <w:rsid w:val="0ADA2338"/>
    <w:rsid w:val="0ADE3ECA"/>
    <w:rsid w:val="0B077F8D"/>
    <w:rsid w:val="0B964D87"/>
    <w:rsid w:val="0C4E17B6"/>
    <w:rsid w:val="0D6708A1"/>
    <w:rsid w:val="0D6D59C4"/>
    <w:rsid w:val="0DE63E89"/>
    <w:rsid w:val="0E4617CA"/>
    <w:rsid w:val="0E664557"/>
    <w:rsid w:val="0EAC29ED"/>
    <w:rsid w:val="0EED1B77"/>
    <w:rsid w:val="0F9A317D"/>
    <w:rsid w:val="0FF3288D"/>
    <w:rsid w:val="1010343F"/>
    <w:rsid w:val="105D3EB2"/>
    <w:rsid w:val="107C67E5"/>
    <w:rsid w:val="10E36DA6"/>
    <w:rsid w:val="10F63B4B"/>
    <w:rsid w:val="11360C84"/>
    <w:rsid w:val="117F5BF5"/>
    <w:rsid w:val="11BB6188"/>
    <w:rsid w:val="1211524D"/>
    <w:rsid w:val="12633CFA"/>
    <w:rsid w:val="12F157AA"/>
    <w:rsid w:val="1399374C"/>
    <w:rsid w:val="13AF2F6F"/>
    <w:rsid w:val="140B63F8"/>
    <w:rsid w:val="154276EC"/>
    <w:rsid w:val="1582093B"/>
    <w:rsid w:val="159F1C72"/>
    <w:rsid w:val="15A563D8"/>
    <w:rsid w:val="16013F56"/>
    <w:rsid w:val="164B2248"/>
    <w:rsid w:val="169326D4"/>
    <w:rsid w:val="16954D72"/>
    <w:rsid w:val="16FBC397"/>
    <w:rsid w:val="1752561F"/>
    <w:rsid w:val="17602EFE"/>
    <w:rsid w:val="176E4AFD"/>
    <w:rsid w:val="17F3167D"/>
    <w:rsid w:val="19113C3C"/>
    <w:rsid w:val="195A6195"/>
    <w:rsid w:val="196811FE"/>
    <w:rsid w:val="1A157D9D"/>
    <w:rsid w:val="1A1A6AF2"/>
    <w:rsid w:val="1A38336E"/>
    <w:rsid w:val="1A4B1C44"/>
    <w:rsid w:val="1A77431E"/>
    <w:rsid w:val="1AE6371B"/>
    <w:rsid w:val="1BF35C1D"/>
    <w:rsid w:val="1BF73705"/>
    <w:rsid w:val="1BFF959A"/>
    <w:rsid w:val="1C0320AA"/>
    <w:rsid w:val="1C567043"/>
    <w:rsid w:val="1D990F18"/>
    <w:rsid w:val="1DB418AE"/>
    <w:rsid w:val="1E754A76"/>
    <w:rsid w:val="1E890F8D"/>
    <w:rsid w:val="1F470500"/>
    <w:rsid w:val="1F5F63FA"/>
    <w:rsid w:val="1FC21211"/>
    <w:rsid w:val="1FDB2327"/>
    <w:rsid w:val="1FDF20ED"/>
    <w:rsid w:val="1FFD34B9"/>
    <w:rsid w:val="1FFF919F"/>
    <w:rsid w:val="1FFFF284"/>
    <w:rsid w:val="204C2272"/>
    <w:rsid w:val="213056EF"/>
    <w:rsid w:val="21463165"/>
    <w:rsid w:val="21823A71"/>
    <w:rsid w:val="22162B37"/>
    <w:rsid w:val="22C81437"/>
    <w:rsid w:val="22E04EF3"/>
    <w:rsid w:val="2378337E"/>
    <w:rsid w:val="23E26A49"/>
    <w:rsid w:val="241412F8"/>
    <w:rsid w:val="24487C4B"/>
    <w:rsid w:val="24EE1B49"/>
    <w:rsid w:val="25031625"/>
    <w:rsid w:val="25DC3B52"/>
    <w:rsid w:val="26281AAD"/>
    <w:rsid w:val="268D7140"/>
    <w:rsid w:val="269229A8"/>
    <w:rsid w:val="26B618B1"/>
    <w:rsid w:val="26BD5C77"/>
    <w:rsid w:val="26E17721"/>
    <w:rsid w:val="26E33204"/>
    <w:rsid w:val="28264884"/>
    <w:rsid w:val="28706D19"/>
    <w:rsid w:val="292C2C40"/>
    <w:rsid w:val="29D052F9"/>
    <w:rsid w:val="29D11A3A"/>
    <w:rsid w:val="29E928DF"/>
    <w:rsid w:val="2A516E7E"/>
    <w:rsid w:val="2A5D507B"/>
    <w:rsid w:val="2A671982"/>
    <w:rsid w:val="2A6B7798"/>
    <w:rsid w:val="2A8B1BE9"/>
    <w:rsid w:val="2B681F2A"/>
    <w:rsid w:val="2B817C7B"/>
    <w:rsid w:val="2D5E35E4"/>
    <w:rsid w:val="2E1168A9"/>
    <w:rsid w:val="2E162111"/>
    <w:rsid w:val="2E9F2106"/>
    <w:rsid w:val="2EE79729"/>
    <w:rsid w:val="2F705766"/>
    <w:rsid w:val="2F7B222C"/>
    <w:rsid w:val="2FFBEE80"/>
    <w:rsid w:val="2FFD322A"/>
    <w:rsid w:val="307A31DD"/>
    <w:rsid w:val="316157B6"/>
    <w:rsid w:val="31627154"/>
    <w:rsid w:val="317A4765"/>
    <w:rsid w:val="319B4849"/>
    <w:rsid w:val="31A041CB"/>
    <w:rsid w:val="31B9528D"/>
    <w:rsid w:val="31C3610C"/>
    <w:rsid w:val="31C53817"/>
    <w:rsid w:val="32432DA9"/>
    <w:rsid w:val="32763C0E"/>
    <w:rsid w:val="32AA5062"/>
    <w:rsid w:val="32CB171C"/>
    <w:rsid w:val="32E427DE"/>
    <w:rsid w:val="335C05C6"/>
    <w:rsid w:val="33C61EE3"/>
    <w:rsid w:val="33DF8264"/>
    <w:rsid w:val="33DFD6D5"/>
    <w:rsid w:val="33FF2593"/>
    <w:rsid w:val="34C77CC1"/>
    <w:rsid w:val="352073CD"/>
    <w:rsid w:val="359C2E54"/>
    <w:rsid w:val="35BE38EF"/>
    <w:rsid w:val="36954DF9"/>
    <w:rsid w:val="372972DF"/>
    <w:rsid w:val="374B2E2B"/>
    <w:rsid w:val="3757C5EF"/>
    <w:rsid w:val="37EF4908"/>
    <w:rsid w:val="37F761C5"/>
    <w:rsid w:val="382E5656"/>
    <w:rsid w:val="390C0398"/>
    <w:rsid w:val="391B05DB"/>
    <w:rsid w:val="39203E44"/>
    <w:rsid w:val="394B70D7"/>
    <w:rsid w:val="397D31C0"/>
    <w:rsid w:val="39930ABA"/>
    <w:rsid w:val="39A52F60"/>
    <w:rsid w:val="39D8471E"/>
    <w:rsid w:val="39FD7D42"/>
    <w:rsid w:val="3ADBAD39"/>
    <w:rsid w:val="3B1C3A4F"/>
    <w:rsid w:val="3B282CF3"/>
    <w:rsid w:val="3B367FBB"/>
    <w:rsid w:val="3BAD3DA3"/>
    <w:rsid w:val="3BFDAF51"/>
    <w:rsid w:val="3BFECA66"/>
    <w:rsid w:val="3C73BFD2"/>
    <w:rsid w:val="3C9F0936"/>
    <w:rsid w:val="3CB40D10"/>
    <w:rsid w:val="3CC50F8A"/>
    <w:rsid w:val="3CE8111C"/>
    <w:rsid w:val="3D4C16AB"/>
    <w:rsid w:val="3DAFDE9B"/>
    <w:rsid w:val="3DE4F24C"/>
    <w:rsid w:val="3DFBE672"/>
    <w:rsid w:val="3E043D34"/>
    <w:rsid w:val="3E7F49B6"/>
    <w:rsid w:val="3EA370A9"/>
    <w:rsid w:val="3ED3FD62"/>
    <w:rsid w:val="3EDF0C9E"/>
    <w:rsid w:val="3EFF0E4E"/>
    <w:rsid w:val="3F3B1DEC"/>
    <w:rsid w:val="3F570C7A"/>
    <w:rsid w:val="3F674EBF"/>
    <w:rsid w:val="3F7F5C1B"/>
    <w:rsid w:val="3FBEAECE"/>
    <w:rsid w:val="3FD76AFA"/>
    <w:rsid w:val="3FE749E3"/>
    <w:rsid w:val="3FEDE534"/>
    <w:rsid w:val="3FEF3A48"/>
    <w:rsid w:val="3FEF8760"/>
    <w:rsid w:val="3FF3E2E7"/>
    <w:rsid w:val="3FFDC2E2"/>
    <w:rsid w:val="3FFE8A77"/>
    <w:rsid w:val="3FFF4525"/>
    <w:rsid w:val="40BD13D3"/>
    <w:rsid w:val="40F40A87"/>
    <w:rsid w:val="41314E40"/>
    <w:rsid w:val="43086074"/>
    <w:rsid w:val="434F5A51"/>
    <w:rsid w:val="441F5424"/>
    <w:rsid w:val="44326D7B"/>
    <w:rsid w:val="454A25DE"/>
    <w:rsid w:val="4565316A"/>
    <w:rsid w:val="45F979C6"/>
    <w:rsid w:val="46D30374"/>
    <w:rsid w:val="475FD041"/>
    <w:rsid w:val="47A520E4"/>
    <w:rsid w:val="47C84024"/>
    <w:rsid w:val="47E250E6"/>
    <w:rsid w:val="47EE4E51"/>
    <w:rsid w:val="486466A3"/>
    <w:rsid w:val="48BE0390"/>
    <w:rsid w:val="48FA71E9"/>
    <w:rsid w:val="491D3EFC"/>
    <w:rsid w:val="494E7F49"/>
    <w:rsid w:val="497636D8"/>
    <w:rsid w:val="49917B87"/>
    <w:rsid w:val="49966865"/>
    <w:rsid w:val="49AA39E1"/>
    <w:rsid w:val="4A361719"/>
    <w:rsid w:val="4A4E3479"/>
    <w:rsid w:val="4A534079"/>
    <w:rsid w:val="4A5F4DF6"/>
    <w:rsid w:val="4A934476"/>
    <w:rsid w:val="4ABF63D4"/>
    <w:rsid w:val="4B4D4834"/>
    <w:rsid w:val="4B7044BD"/>
    <w:rsid w:val="4BB7188B"/>
    <w:rsid w:val="4BD15DF6"/>
    <w:rsid w:val="4BD77519"/>
    <w:rsid w:val="4C261319"/>
    <w:rsid w:val="4D135D42"/>
    <w:rsid w:val="4D1F46E6"/>
    <w:rsid w:val="4D45465D"/>
    <w:rsid w:val="4DA90A72"/>
    <w:rsid w:val="4DBA7040"/>
    <w:rsid w:val="4DC46ACF"/>
    <w:rsid w:val="4DF84C2B"/>
    <w:rsid w:val="4E5C1022"/>
    <w:rsid w:val="4E7FE15F"/>
    <w:rsid w:val="4EA8070C"/>
    <w:rsid w:val="4EBD8119"/>
    <w:rsid w:val="4EFCB864"/>
    <w:rsid w:val="4FA2515B"/>
    <w:rsid w:val="4FFB3DF6"/>
    <w:rsid w:val="509B22D6"/>
    <w:rsid w:val="50DC644B"/>
    <w:rsid w:val="51D535C6"/>
    <w:rsid w:val="524A4815"/>
    <w:rsid w:val="527A04F5"/>
    <w:rsid w:val="5285323E"/>
    <w:rsid w:val="53111E7A"/>
    <w:rsid w:val="53B611D5"/>
    <w:rsid w:val="53BD0AA8"/>
    <w:rsid w:val="54260B2B"/>
    <w:rsid w:val="544E765F"/>
    <w:rsid w:val="5463310B"/>
    <w:rsid w:val="546724CF"/>
    <w:rsid w:val="54790B80"/>
    <w:rsid w:val="54800B10"/>
    <w:rsid w:val="54A37492"/>
    <w:rsid w:val="54E81862"/>
    <w:rsid w:val="552C79A0"/>
    <w:rsid w:val="553F4D60"/>
    <w:rsid w:val="557FC352"/>
    <w:rsid w:val="55933792"/>
    <w:rsid w:val="55BA31FE"/>
    <w:rsid w:val="55C51BA3"/>
    <w:rsid w:val="55DBDE60"/>
    <w:rsid w:val="570109B9"/>
    <w:rsid w:val="57643D43"/>
    <w:rsid w:val="57A01B21"/>
    <w:rsid w:val="57CFEA82"/>
    <w:rsid w:val="58196FC6"/>
    <w:rsid w:val="58A54785"/>
    <w:rsid w:val="590F3861"/>
    <w:rsid w:val="59F4360C"/>
    <w:rsid w:val="5A0031AA"/>
    <w:rsid w:val="5A032C9A"/>
    <w:rsid w:val="5A07278A"/>
    <w:rsid w:val="5ADF3707"/>
    <w:rsid w:val="5B0E511E"/>
    <w:rsid w:val="5B5C08B4"/>
    <w:rsid w:val="5BBA55DA"/>
    <w:rsid w:val="5BEC1C38"/>
    <w:rsid w:val="5BEF1273"/>
    <w:rsid w:val="5BEFCCC7"/>
    <w:rsid w:val="5BFBACC4"/>
    <w:rsid w:val="5C0B7550"/>
    <w:rsid w:val="5C39547E"/>
    <w:rsid w:val="5CA05229"/>
    <w:rsid w:val="5CE60D7D"/>
    <w:rsid w:val="5CF1D44C"/>
    <w:rsid w:val="5CF30AE9"/>
    <w:rsid w:val="5CFBC3DA"/>
    <w:rsid w:val="5D6C0350"/>
    <w:rsid w:val="5D6F6A80"/>
    <w:rsid w:val="5DB76A3F"/>
    <w:rsid w:val="5DDB8B4C"/>
    <w:rsid w:val="5DEFA547"/>
    <w:rsid w:val="5E111E29"/>
    <w:rsid w:val="5E394EDC"/>
    <w:rsid w:val="5E4B6676"/>
    <w:rsid w:val="5E59732C"/>
    <w:rsid w:val="5E9D190F"/>
    <w:rsid w:val="5EDF2218"/>
    <w:rsid w:val="5EE624C8"/>
    <w:rsid w:val="5F076D88"/>
    <w:rsid w:val="5F5B30C3"/>
    <w:rsid w:val="5F5F1EB8"/>
    <w:rsid w:val="5F7E34EF"/>
    <w:rsid w:val="5F97E682"/>
    <w:rsid w:val="5FA3C553"/>
    <w:rsid w:val="5FDD50F4"/>
    <w:rsid w:val="5FDF7C85"/>
    <w:rsid w:val="5FEFAA32"/>
    <w:rsid w:val="5FFDBECD"/>
    <w:rsid w:val="5FFF96BF"/>
    <w:rsid w:val="5FFFFCD1"/>
    <w:rsid w:val="61045C75"/>
    <w:rsid w:val="611A2DA3"/>
    <w:rsid w:val="61774CE6"/>
    <w:rsid w:val="62061579"/>
    <w:rsid w:val="62DBCA78"/>
    <w:rsid w:val="62DF24F6"/>
    <w:rsid w:val="62F2FD68"/>
    <w:rsid w:val="637349EC"/>
    <w:rsid w:val="63EE6769"/>
    <w:rsid w:val="63FFF078"/>
    <w:rsid w:val="655357B7"/>
    <w:rsid w:val="65AE2D41"/>
    <w:rsid w:val="65FFFA87"/>
    <w:rsid w:val="666CF8AE"/>
    <w:rsid w:val="66952ECC"/>
    <w:rsid w:val="66FE6026"/>
    <w:rsid w:val="67393E60"/>
    <w:rsid w:val="6745F083"/>
    <w:rsid w:val="67F8176F"/>
    <w:rsid w:val="67FC84D8"/>
    <w:rsid w:val="67FEEF11"/>
    <w:rsid w:val="68BE3863"/>
    <w:rsid w:val="68C87588"/>
    <w:rsid w:val="68FB40F7"/>
    <w:rsid w:val="68FF1F15"/>
    <w:rsid w:val="698D0514"/>
    <w:rsid w:val="69A33AA0"/>
    <w:rsid w:val="6A0A58C6"/>
    <w:rsid w:val="6A1B1B0C"/>
    <w:rsid w:val="6A5FBA84"/>
    <w:rsid w:val="6ACAEDFB"/>
    <w:rsid w:val="6AED4854"/>
    <w:rsid w:val="6B2F7D93"/>
    <w:rsid w:val="6B3A0F2B"/>
    <w:rsid w:val="6B967FFD"/>
    <w:rsid w:val="6B9E3102"/>
    <w:rsid w:val="6BEB99EB"/>
    <w:rsid w:val="6C755C79"/>
    <w:rsid w:val="6C76AC3F"/>
    <w:rsid w:val="6CB57E24"/>
    <w:rsid w:val="6CE77137"/>
    <w:rsid w:val="6D7FD74E"/>
    <w:rsid w:val="6DC61586"/>
    <w:rsid w:val="6E3D1D31"/>
    <w:rsid w:val="6EA9F408"/>
    <w:rsid w:val="6EDDD0BF"/>
    <w:rsid w:val="6EDF8CEB"/>
    <w:rsid w:val="6EE966A4"/>
    <w:rsid w:val="6EF7205B"/>
    <w:rsid w:val="6EFDC0BA"/>
    <w:rsid w:val="6EFF04CB"/>
    <w:rsid w:val="6F35D9C5"/>
    <w:rsid w:val="6F3D7F43"/>
    <w:rsid w:val="6F4F4560"/>
    <w:rsid w:val="6F5F3F9B"/>
    <w:rsid w:val="6F614293"/>
    <w:rsid w:val="6F7F347D"/>
    <w:rsid w:val="6F7F89D9"/>
    <w:rsid w:val="6FBFDB68"/>
    <w:rsid w:val="6FBFF7CB"/>
    <w:rsid w:val="6FEB328A"/>
    <w:rsid w:val="6FEF73B3"/>
    <w:rsid w:val="6FF670D1"/>
    <w:rsid w:val="6FFD5402"/>
    <w:rsid w:val="6FFF06BF"/>
    <w:rsid w:val="7048171B"/>
    <w:rsid w:val="70BC3E77"/>
    <w:rsid w:val="70EFED72"/>
    <w:rsid w:val="71257C6E"/>
    <w:rsid w:val="71724535"/>
    <w:rsid w:val="71D77843"/>
    <w:rsid w:val="71FF8BFD"/>
    <w:rsid w:val="720C6738"/>
    <w:rsid w:val="722C2CEC"/>
    <w:rsid w:val="733F48EB"/>
    <w:rsid w:val="736B2B87"/>
    <w:rsid w:val="737B8BC3"/>
    <w:rsid w:val="73B31C7C"/>
    <w:rsid w:val="73DFCDAF"/>
    <w:rsid w:val="73FD159B"/>
    <w:rsid w:val="749B1FF5"/>
    <w:rsid w:val="74F736B2"/>
    <w:rsid w:val="75377F70"/>
    <w:rsid w:val="753B85D8"/>
    <w:rsid w:val="757271FA"/>
    <w:rsid w:val="75AF488A"/>
    <w:rsid w:val="75B06E87"/>
    <w:rsid w:val="75C31B4B"/>
    <w:rsid w:val="767C63E3"/>
    <w:rsid w:val="76E77714"/>
    <w:rsid w:val="76EFA3BC"/>
    <w:rsid w:val="773E5E27"/>
    <w:rsid w:val="777C0BCC"/>
    <w:rsid w:val="777F6A00"/>
    <w:rsid w:val="778D09B0"/>
    <w:rsid w:val="77BF424C"/>
    <w:rsid w:val="77E7568E"/>
    <w:rsid w:val="77FAB228"/>
    <w:rsid w:val="77FBEF55"/>
    <w:rsid w:val="77FE3552"/>
    <w:rsid w:val="77FE573B"/>
    <w:rsid w:val="77FF90FF"/>
    <w:rsid w:val="77FFFCE9"/>
    <w:rsid w:val="780D320A"/>
    <w:rsid w:val="78564BB1"/>
    <w:rsid w:val="792627D5"/>
    <w:rsid w:val="79334EF2"/>
    <w:rsid w:val="793F0FD7"/>
    <w:rsid w:val="795135CA"/>
    <w:rsid w:val="798B2638"/>
    <w:rsid w:val="79A27982"/>
    <w:rsid w:val="79BAA359"/>
    <w:rsid w:val="79FE31CA"/>
    <w:rsid w:val="79FF0CA0"/>
    <w:rsid w:val="79FF4151"/>
    <w:rsid w:val="7A016D9E"/>
    <w:rsid w:val="7A3C7B2D"/>
    <w:rsid w:val="7AAF2356"/>
    <w:rsid w:val="7AE30252"/>
    <w:rsid w:val="7AFD1D23"/>
    <w:rsid w:val="7B6D73E5"/>
    <w:rsid w:val="7B7DE4E5"/>
    <w:rsid w:val="7B7F252A"/>
    <w:rsid w:val="7BB751E9"/>
    <w:rsid w:val="7BB82234"/>
    <w:rsid w:val="7BCEA2E0"/>
    <w:rsid w:val="7BD5B22B"/>
    <w:rsid w:val="7BDEBD95"/>
    <w:rsid w:val="7BF33B11"/>
    <w:rsid w:val="7BFA04A0"/>
    <w:rsid w:val="7BFF37E6"/>
    <w:rsid w:val="7C1EAA60"/>
    <w:rsid w:val="7C3C2310"/>
    <w:rsid w:val="7C572CA5"/>
    <w:rsid w:val="7C7E7708"/>
    <w:rsid w:val="7CCB6BDD"/>
    <w:rsid w:val="7CEE132B"/>
    <w:rsid w:val="7D342FE7"/>
    <w:rsid w:val="7D3F7B23"/>
    <w:rsid w:val="7D5D0801"/>
    <w:rsid w:val="7D657644"/>
    <w:rsid w:val="7DA2D771"/>
    <w:rsid w:val="7DBF24C2"/>
    <w:rsid w:val="7DCDAB2D"/>
    <w:rsid w:val="7DCF66AA"/>
    <w:rsid w:val="7DD07D31"/>
    <w:rsid w:val="7DD9A386"/>
    <w:rsid w:val="7DDE989D"/>
    <w:rsid w:val="7DDFEFB0"/>
    <w:rsid w:val="7DFB366B"/>
    <w:rsid w:val="7DFFCCBF"/>
    <w:rsid w:val="7E383D80"/>
    <w:rsid w:val="7E3F656E"/>
    <w:rsid w:val="7E8D29AE"/>
    <w:rsid w:val="7E9DA15A"/>
    <w:rsid w:val="7EC7FB3E"/>
    <w:rsid w:val="7ECF6F34"/>
    <w:rsid w:val="7EE50A3C"/>
    <w:rsid w:val="7EF56138"/>
    <w:rsid w:val="7EFA11EB"/>
    <w:rsid w:val="7EFBA960"/>
    <w:rsid w:val="7EFCBAF7"/>
    <w:rsid w:val="7EFCFB59"/>
    <w:rsid w:val="7EFFAE2D"/>
    <w:rsid w:val="7F024E5A"/>
    <w:rsid w:val="7F275744"/>
    <w:rsid w:val="7F590AE3"/>
    <w:rsid w:val="7F6EE870"/>
    <w:rsid w:val="7F77C35A"/>
    <w:rsid w:val="7F7F1047"/>
    <w:rsid w:val="7F7FCBEB"/>
    <w:rsid w:val="7FB55F3D"/>
    <w:rsid w:val="7FB7AE86"/>
    <w:rsid w:val="7FBF6960"/>
    <w:rsid w:val="7FBF768F"/>
    <w:rsid w:val="7FC23AF7"/>
    <w:rsid w:val="7FCF6433"/>
    <w:rsid w:val="7FD34D39"/>
    <w:rsid w:val="7FDDB1FA"/>
    <w:rsid w:val="7FDF9EAB"/>
    <w:rsid w:val="7FDFBFA9"/>
    <w:rsid w:val="7FE724F3"/>
    <w:rsid w:val="7FEF345B"/>
    <w:rsid w:val="7FEF960E"/>
    <w:rsid w:val="7FFC1B2F"/>
    <w:rsid w:val="7FFE3785"/>
    <w:rsid w:val="7FFF0927"/>
    <w:rsid w:val="7FFF320A"/>
    <w:rsid w:val="7FFFB0A6"/>
    <w:rsid w:val="7FFFC4C7"/>
    <w:rsid w:val="7FFFD9D9"/>
    <w:rsid w:val="7FFFE660"/>
    <w:rsid w:val="89EA97BD"/>
    <w:rsid w:val="8DBDF385"/>
    <w:rsid w:val="8DDB137F"/>
    <w:rsid w:val="8F5965EC"/>
    <w:rsid w:val="8FB7A2DD"/>
    <w:rsid w:val="959EB2C2"/>
    <w:rsid w:val="95BF857E"/>
    <w:rsid w:val="977D6488"/>
    <w:rsid w:val="97F7493C"/>
    <w:rsid w:val="996E26E7"/>
    <w:rsid w:val="9C7D1DA7"/>
    <w:rsid w:val="9DF7622C"/>
    <w:rsid w:val="9EFFE712"/>
    <w:rsid w:val="9FBE8AC2"/>
    <w:rsid w:val="A7F43FB0"/>
    <w:rsid w:val="AB6BF8B8"/>
    <w:rsid w:val="ABDE7739"/>
    <w:rsid w:val="AE566547"/>
    <w:rsid w:val="AEE7C08E"/>
    <w:rsid w:val="AF42D13F"/>
    <w:rsid w:val="AF7D2009"/>
    <w:rsid w:val="AFBE1C66"/>
    <w:rsid w:val="B3BCA5FA"/>
    <w:rsid w:val="B3FF99BF"/>
    <w:rsid w:val="B5B7D369"/>
    <w:rsid w:val="B5DF6955"/>
    <w:rsid w:val="B5EFEFEA"/>
    <w:rsid w:val="B5F13663"/>
    <w:rsid w:val="B5FFC1AB"/>
    <w:rsid w:val="B6D9FB4A"/>
    <w:rsid w:val="B76B5E3B"/>
    <w:rsid w:val="B7BE0335"/>
    <w:rsid w:val="B7BF39D4"/>
    <w:rsid w:val="B7FB4004"/>
    <w:rsid w:val="BB3E74F3"/>
    <w:rsid w:val="BBF8F338"/>
    <w:rsid w:val="BCFA307E"/>
    <w:rsid w:val="BDD68478"/>
    <w:rsid w:val="BDEF3B4B"/>
    <w:rsid w:val="BED74D61"/>
    <w:rsid w:val="BEFD5CFD"/>
    <w:rsid w:val="BF6C5124"/>
    <w:rsid w:val="BFB7FEB6"/>
    <w:rsid w:val="BFBFDD1E"/>
    <w:rsid w:val="BFFAE9C4"/>
    <w:rsid w:val="BFFD6398"/>
    <w:rsid w:val="C2F7E1D5"/>
    <w:rsid w:val="C3FF7F25"/>
    <w:rsid w:val="C7BC1A3E"/>
    <w:rsid w:val="C7FE1E62"/>
    <w:rsid w:val="CB4ECBA8"/>
    <w:rsid w:val="CBA3BAC7"/>
    <w:rsid w:val="CBEEF975"/>
    <w:rsid w:val="CD14F1CA"/>
    <w:rsid w:val="CDFF48B0"/>
    <w:rsid w:val="CDFF94D4"/>
    <w:rsid w:val="CE55341E"/>
    <w:rsid w:val="CE6F0349"/>
    <w:rsid w:val="CEEB0051"/>
    <w:rsid w:val="CF4F7542"/>
    <w:rsid w:val="CFDE735B"/>
    <w:rsid w:val="CFF7E583"/>
    <w:rsid w:val="CFFB9957"/>
    <w:rsid w:val="CFFF1C49"/>
    <w:rsid w:val="D3BA8403"/>
    <w:rsid w:val="D3BF7094"/>
    <w:rsid w:val="D4BF6CBA"/>
    <w:rsid w:val="D77C88DF"/>
    <w:rsid w:val="D799BB53"/>
    <w:rsid w:val="D7DB55B5"/>
    <w:rsid w:val="D7E3A9E7"/>
    <w:rsid w:val="D9FB914E"/>
    <w:rsid w:val="DA4DDF8A"/>
    <w:rsid w:val="DAD6932A"/>
    <w:rsid w:val="DBBF186A"/>
    <w:rsid w:val="DBEFEFE1"/>
    <w:rsid w:val="DCFD0DA5"/>
    <w:rsid w:val="DD7671FB"/>
    <w:rsid w:val="DD7F73D4"/>
    <w:rsid w:val="DDD73832"/>
    <w:rsid w:val="DDF75D2F"/>
    <w:rsid w:val="DF77FB61"/>
    <w:rsid w:val="DF7D7B93"/>
    <w:rsid w:val="DF7E7A19"/>
    <w:rsid w:val="DF974A8D"/>
    <w:rsid w:val="DFD323B9"/>
    <w:rsid w:val="DFD8AE1F"/>
    <w:rsid w:val="DFDDE9D5"/>
    <w:rsid w:val="DFF9CD49"/>
    <w:rsid w:val="DFFF2358"/>
    <w:rsid w:val="E1EF89D4"/>
    <w:rsid w:val="E26F32C5"/>
    <w:rsid w:val="E69B9997"/>
    <w:rsid w:val="E77E6E48"/>
    <w:rsid w:val="E77F8BD0"/>
    <w:rsid w:val="E7DE5ABF"/>
    <w:rsid w:val="E7F9235E"/>
    <w:rsid w:val="E7F98B37"/>
    <w:rsid w:val="E7FFD779"/>
    <w:rsid w:val="E9DF1CA4"/>
    <w:rsid w:val="EABD5425"/>
    <w:rsid w:val="ECFCAAEF"/>
    <w:rsid w:val="ED4F6E02"/>
    <w:rsid w:val="EDFF29BD"/>
    <w:rsid w:val="EEBAA837"/>
    <w:rsid w:val="EEDE3681"/>
    <w:rsid w:val="EF56A4F1"/>
    <w:rsid w:val="EF8D412F"/>
    <w:rsid w:val="EFB6E2A4"/>
    <w:rsid w:val="EFBF32EC"/>
    <w:rsid w:val="EFBFD337"/>
    <w:rsid w:val="EFDDDAD6"/>
    <w:rsid w:val="EFFEA070"/>
    <w:rsid w:val="EFFFFCD7"/>
    <w:rsid w:val="F0FE6646"/>
    <w:rsid w:val="F2EFC9E3"/>
    <w:rsid w:val="F2F55C14"/>
    <w:rsid w:val="F37F4DF6"/>
    <w:rsid w:val="F3E5B68B"/>
    <w:rsid w:val="F4FB628F"/>
    <w:rsid w:val="F5DB60EA"/>
    <w:rsid w:val="F5EB26BA"/>
    <w:rsid w:val="F5EFD5BA"/>
    <w:rsid w:val="F5F3109F"/>
    <w:rsid w:val="F5FF2FC2"/>
    <w:rsid w:val="F6DF9B9C"/>
    <w:rsid w:val="F76BD189"/>
    <w:rsid w:val="F77E6ED5"/>
    <w:rsid w:val="F77F8B3D"/>
    <w:rsid w:val="F7ABDCB3"/>
    <w:rsid w:val="F7B55432"/>
    <w:rsid w:val="F7B949D2"/>
    <w:rsid w:val="F7D3B880"/>
    <w:rsid w:val="F7D9DD3C"/>
    <w:rsid w:val="F7DC4209"/>
    <w:rsid w:val="F7DEE2B1"/>
    <w:rsid w:val="F7E30EB4"/>
    <w:rsid w:val="F7E65857"/>
    <w:rsid w:val="F7EB7A84"/>
    <w:rsid w:val="F7EF2697"/>
    <w:rsid w:val="F7F31B38"/>
    <w:rsid w:val="F7FE3070"/>
    <w:rsid w:val="F7FE383B"/>
    <w:rsid w:val="F7FEB8BB"/>
    <w:rsid w:val="F7FFE330"/>
    <w:rsid w:val="F875B5EC"/>
    <w:rsid w:val="F97E2101"/>
    <w:rsid w:val="F9EF4687"/>
    <w:rsid w:val="F9EFA66D"/>
    <w:rsid w:val="FB2F7528"/>
    <w:rsid w:val="FB6BD951"/>
    <w:rsid w:val="FB7CD6DD"/>
    <w:rsid w:val="FB7E635D"/>
    <w:rsid w:val="FB7FBBBE"/>
    <w:rsid w:val="FBD93235"/>
    <w:rsid w:val="FBDD5CEF"/>
    <w:rsid w:val="FBDED373"/>
    <w:rsid w:val="FBE7D633"/>
    <w:rsid w:val="FBEDBB2F"/>
    <w:rsid w:val="FBFF4CAD"/>
    <w:rsid w:val="FBFF8FB7"/>
    <w:rsid w:val="FC3D2E38"/>
    <w:rsid w:val="FD1FA94F"/>
    <w:rsid w:val="FDC5D066"/>
    <w:rsid w:val="FDE7E253"/>
    <w:rsid w:val="FDED759E"/>
    <w:rsid w:val="FDEDE45F"/>
    <w:rsid w:val="FDFD528A"/>
    <w:rsid w:val="FDFE5735"/>
    <w:rsid w:val="FDFF213A"/>
    <w:rsid w:val="FDFF5E73"/>
    <w:rsid w:val="FE3F1669"/>
    <w:rsid w:val="FE555205"/>
    <w:rsid w:val="FE778CFB"/>
    <w:rsid w:val="FE7BE063"/>
    <w:rsid w:val="FEDDE4B6"/>
    <w:rsid w:val="FEEDD7C6"/>
    <w:rsid w:val="FEEEF186"/>
    <w:rsid w:val="FEFE287F"/>
    <w:rsid w:val="FEFF26CF"/>
    <w:rsid w:val="FEFFFC68"/>
    <w:rsid w:val="FF1B22E6"/>
    <w:rsid w:val="FF1F28C2"/>
    <w:rsid w:val="FF2C8570"/>
    <w:rsid w:val="FF7B3765"/>
    <w:rsid w:val="FF7F37F9"/>
    <w:rsid w:val="FF7FFD8D"/>
    <w:rsid w:val="FF8360E4"/>
    <w:rsid w:val="FF8F9056"/>
    <w:rsid w:val="FF9DDD48"/>
    <w:rsid w:val="FFAC7A14"/>
    <w:rsid w:val="FFB5BD23"/>
    <w:rsid w:val="FFB723AB"/>
    <w:rsid w:val="FFBCCE3D"/>
    <w:rsid w:val="FFDF40E2"/>
    <w:rsid w:val="FFE9DD45"/>
    <w:rsid w:val="FFEB577A"/>
    <w:rsid w:val="FFEB9FB5"/>
    <w:rsid w:val="FFEF9ECE"/>
    <w:rsid w:val="FFFBAAAE"/>
    <w:rsid w:val="FFFC9AF7"/>
    <w:rsid w:val="FFFED8AF"/>
    <w:rsid w:val="FFFF0033"/>
    <w:rsid w:val="FFFF5B1F"/>
    <w:rsid w:val="FFFF64B4"/>
    <w:rsid w:val="FFFF785A"/>
    <w:rsid w:val="FFFF8045"/>
    <w:rsid w:val="FFFF809E"/>
    <w:rsid w:val="FFFFF6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jc w:val="center"/>
    </w:pPr>
    <w:rPr>
      <w:rFonts w:ascii="宋体"/>
      <w:sz w:val="44"/>
    </w:rPr>
  </w:style>
  <w:style w:type="paragraph" w:styleId="3">
    <w:name w:val="Normal Indent"/>
    <w:basedOn w:val="1"/>
    <w:qFormat/>
    <w:uiPriority w:val="0"/>
    <w:pPr>
      <w:widowControl w:val="0"/>
      <w:spacing w:line="560" w:lineRule="atLeast"/>
      <w:ind w:firstLine="420"/>
      <w:jc w:val="both"/>
    </w:pPr>
    <w:rPr>
      <w:rFonts w:ascii="Times New Roman" w:hAnsi="Times New Roman" w:eastAsia="宋体" w:cs="Times New Roman"/>
      <w:kern w:val="2"/>
      <w:sz w:val="32"/>
      <w:szCs w:val="32"/>
      <w:lang w:val="en-US" w:eastAsia="zh-CN" w:bidi="ar-SA"/>
    </w:rPr>
  </w:style>
  <w:style w:type="paragraph" w:styleId="4">
    <w:name w:val="annotation text"/>
    <w:basedOn w:val="1"/>
    <w:qFormat/>
    <w:uiPriority w:val="0"/>
    <w:pPr>
      <w:jc w:val="left"/>
    </w:pPr>
  </w:style>
  <w:style w:type="paragraph" w:styleId="5">
    <w:name w:val="Body Text Indent"/>
    <w:basedOn w:val="1"/>
    <w:next w:val="6"/>
    <w:qFormat/>
    <w:uiPriority w:val="0"/>
    <w:pPr>
      <w:widowControl w:val="0"/>
      <w:ind w:firstLine="640" w:firstLineChars="200"/>
      <w:jc w:val="both"/>
    </w:pPr>
    <w:rPr>
      <w:rFonts w:ascii="仿宋_GB2312" w:hAnsi="Times New Roman" w:eastAsia="仿宋_GB2312" w:cs="Times New Roman"/>
      <w:kern w:val="2"/>
      <w:sz w:val="32"/>
      <w:szCs w:val="24"/>
      <w:lang w:val="en-US" w:eastAsia="zh-CN" w:bidi="ar-SA"/>
    </w:rPr>
  </w:style>
  <w:style w:type="paragraph" w:styleId="6">
    <w:name w:val="envelope return"/>
    <w:basedOn w:val="1"/>
    <w:qFormat/>
    <w:uiPriority w:val="0"/>
    <w:rPr>
      <w:rFonts w:ascii="Arial" w:hAnsi="Arial"/>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Body Text First Indent"/>
    <w:basedOn w:val="2"/>
    <w:next w:val="1"/>
    <w:qFormat/>
    <w:uiPriority w:val="0"/>
    <w:pPr>
      <w:widowControl w:val="0"/>
      <w:ind w:firstLine="420" w:firstLineChars="100"/>
      <w:jc w:val="center"/>
    </w:pPr>
    <w:rPr>
      <w:rFonts w:ascii="宋体" w:hAnsi="Times New Roman" w:eastAsia="宋体" w:cs="Times New Roman"/>
      <w:kern w:val="2"/>
      <w:sz w:val="44"/>
      <w:szCs w:val="24"/>
      <w:lang w:val="en-US" w:eastAsia="zh-CN" w:bidi="ar-SA"/>
    </w:rPr>
  </w:style>
  <w:style w:type="paragraph" w:styleId="11">
    <w:name w:val="Body Text First Indent 2"/>
    <w:basedOn w:val="5"/>
    <w:qFormat/>
    <w:uiPriority w:val="0"/>
    <w:pPr>
      <w:widowControl w:val="0"/>
      <w:ind w:firstLine="420" w:firstLineChars="200"/>
      <w:jc w:val="both"/>
    </w:pPr>
    <w:rPr>
      <w:rFonts w:ascii="仿宋_GB2312" w:hAnsi="Times New Roman" w:eastAsia="仿宋_GB2312" w:cs="Times New Roman"/>
      <w:kern w:val="2"/>
      <w:sz w:val="32"/>
      <w:szCs w:val="24"/>
      <w:lang w:val="en-US" w:eastAsia="zh-CN" w:bidi="ar-SA"/>
    </w:rPr>
  </w:style>
  <w:style w:type="table" w:styleId="13">
    <w:name w:val="Table Grid"/>
    <w:qFormat/>
    <w:uiPriority w:val="0"/>
    <w:pPr>
      <w:widowControl w:val="0"/>
      <w:jc w:val="both"/>
    </w:pPr>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paragraph" w:customStyle="1" w:styleId="16">
    <w:name w:val="Body Text First Indent 21"/>
    <w:basedOn w:val="17"/>
    <w:next w:val="2"/>
    <w:qFormat/>
    <w:uiPriority w:val="0"/>
    <w:pPr>
      <w:ind w:firstLine="420" w:firstLineChars="200"/>
    </w:pPr>
  </w:style>
  <w:style w:type="paragraph" w:customStyle="1" w:styleId="17">
    <w:name w:val="Body Text Indent1"/>
    <w:basedOn w:val="1"/>
    <w:next w:val="16"/>
    <w:qFormat/>
    <w:uiPriority w:val="0"/>
    <w:pPr>
      <w:spacing w:after="120"/>
      <w:ind w:left="420" w:left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2415</Words>
  <Characters>2488</Characters>
  <Lines>0</Lines>
  <Paragraphs>0</Paragraphs>
  <TotalTime>1</TotalTime>
  <ScaleCrop>false</ScaleCrop>
  <LinksUpToDate>false</LinksUpToDate>
  <CharactersWithSpaces>2518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2023-03-15T08:19:00Z</dcterms:created>
  <dc:creator>Administrator</dc:creator>
  <cp:lastModifiedBy>郭珊燕</cp:lastModifiedBy>
  <cp:lastPrinted>2025-04-16T02:29:37Z</cp:lastPrinted>
  <dcterms:modified xsi:type="dcterms:W3CDTF">2025-04-16T02:32:58Z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A81504B484A24C8392F036464D94B134</vt:lpwstr>
  </property>
  <property fmtid="{D5CDD505-2E9C-101B-9397-08002B2CF9AE}" pid="4" name="KSOTemplateDocerSaveRecord">
    <vt:lpwstr>eyJoZGlkIjoiODhhNzBiOTk4YWQwY2IzMDEyMDJlMWI1NGY2ODZiYzUiLCJ1c2VySWQiOiIzNjc5NTA1NTgifQ==</vt:lpwstr>
  </property>
</Properties>
</file>