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1B8C5D">
      <w:pPr>
        <w:keepNext w:val="0"/>
        <w:keepLines w:val="0"/>
        <w:pageBreakBefore w:val="0"/>
        <w:widowControl w:val="0"/>
        <w:kinsoku/>
        <w:wordWrap/>
        <w:overflowPunct/>
        <w:topLinePunct w:val="0"/>
        <w:autoSpaceDE w:val="0"/>
        <w:autoSpaceDN w:val="0"/>
        <w:bidi w:val="0"/>
        <w:adjustRightInd/>
        <w:snapToGrid/>
        <w:spacing w:line="579" w:lineRule="exact"/>
        <w:jc w:val="center"/>
        <w:textAlignment w:val="auto"/>
        <w:outlineLvl w:val="0"/>
        <w:rPr>
          <w:rFonts w:hint="eastAsia" w:ascii="方正大标宋简体" w:hAnsi="方正大标宋简体" w:eastAsia="方正大标宋简体" w:cs="方正大标宋简体"/>
          <w:sz w:val="44"/>
          <w:szCs w:val="44"/>
          <w:highlight w:val="none"/>
        </w:rPr>
      </w:pPr>
      <w:r>
        <w:rPr>
          <w:rFonts w:hint="eastAsia" w:ascii="方正大标宋简体" w:hAnsi="方正大标宋简体" w:eastAsia="方正大标宋简体" w:cs="方正大标宋简体"/>
          <w:sz w:val="44"/>
          <w:szCs w:val="44"/>
          <w:highlight w:val="none"/>
          <w:lang w:val="en-US" w:eastAsia="zh-CN"/>
        </w:rPr>
        <w:t>2025年新洲社区涵洞安全栅栏安装项目</w:t>
      </w:r>
      <w:r>
        <w:rPr>
          <w:rFonts w:hint="eastAsia" w:ascii="方正大标宋简体" w:hAnsi="方正大标宋简体" w:eastAsia="方正大标宋简体" w:cs="方正大标宋简体"/>
          <w:sz w:val="44"/>
          <w:szCs w:val="44"/>
          <w:highlight w:val="none"/>
        </w:rPr>
        <w:t>采购需求</w:t>
      </w:r>
    </w:p>
    <w:p w14:paraId="0471B6E6">
      <w:pPr>
        <w:pStyle w:val="10"/>
        <w:keepNext w:val="0"/>
        <w:keepLines w:val="0"/>
        <w:pageBreakBefore w:val="0"/>
        <w:kinsoku/>
        <w:overflowPunct/>
        <w:topLinePunct w:val="0"/>
        <w:bidi w:val="0"/>
        <w:adjustRightInd/>
        <w:snapToGrid/>
        <w:spacing w:line="579" w:lineRule="exact"/>
        <w:ind w:firstLine="674"/>
        <w:rPr>
          <w:rFonts w:hint="eastAsia" w:ascii="黑体" w:hAnsi="黑体" w:eastAsia="黑体" w:cs="黑体"/>
          <w:szCs w:val="32"/>
          <w:highlight w:val="none"/>
        </w:rPr>
      </w:pPr>
    </w:p>
    <w:p w14:paraId="0F06F524">
      <w:pPr>
        <w:pStyle w:val="10"/>
        <w:keepNext w:val="0"/>
        <w:keepLines w:val="0"/>
        <w:pageBreakBefore w:val="0"/>
        <w:kinsoku/>
        <w:overflowPunct/>
        <w:topLinePunct w:val="0"/>
        <w:bidi w:val="0"/>
        <w:adjustRightInd/>
        <w:snapToGrid/>
        <w:spacing w:line="579" w:lineRule="exact"/>
        <w:ind w:firstLine="674"/>
        <w:outlineLvl w:val="1"/>
        <w:rPr>
          <w:rFonts w:hint="eastAsia" w:ascii="黑体" w:hAnsi="黑体" w:eastAsia="黑体" w:cs="黑体"/>
          <w:szCs w:val="32"/>
          <w:highlight w:val="none"/>
        </w:rPr>
      </w:pPr>
      <w:r>
        <w:rPr>
          <w:rFonts w:hint="eastAsia" w:ascii="黑体" w:hAnsi="黑体" w:eastAsia="黑体" w:cs="黑体"/>
          <w:szCs w:val="32"/>
          <w:highlight w:val="none"/>
        </w:rPr>
        <w:t>一、货物清单</w:t>
      </w:r>
    </w:p>
    <w:tbl>
      <w:tblPr>
        <w:tblStyle w:val="11"/>
        <w:tblW w:w="953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57"/>
        <w:gridCol w:w="1579"/>
        <w:gridCol w:w="3105"/>
        <w:gridCol w:w="822"/>
        <w:gridCol w:w="969"/>
        <w:gridCol w:w="936"/>
        <w:gridCol w:w="1668"/>
      </w:tblGrid>
      <w:tr w14:paraId="15953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3"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170EE">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序号</w:t>
            </w:r>
          </w:p>
        </w:tc>
        <w:tc>
          <w:tcPr>
            <w:tcW w:w="1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B56E8">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货物名称</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358FA">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货物</w:t>
            </w:r>
            <w:bookmarkStart w:id="2" w:name="_GoBack"/>
            <w:bookmarkEnd w:id="2"/>
            <w:r>
              <w:rPr>
                <w:rFonts w:hint="eastAsia" w:asciiTheme="minorEastAsia" w:hAnsiTheme="minorEastAsia" w:eastAsiaTheme="minorEastAsia" w:cstheme="minorEastAsia"/>
                <w:b/>
                <w:bCs/>
                <w:i w:val="0"/>
                <w:iCs w:val="0"/>
                <w:color w:val="000000"/>
                <w:kern w:val="0"/>
                <w:sz w:val="24"/>
                <w:szCs w:val="24"/>
                <w:u w:val="none"/>
                <w:lang w:val="en-US" w:eastAsia="zh-CN" w:bidi="ar"/>
              </w:rPr>
              <w:t>描述</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B70CB">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数量</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9D003">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单位</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60AB1">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预算单价</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49EBD">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预算金额</w:t>
            </w:r>
            <w:r>
              <w:rPr>
                <w:rFonts w:hint="eastAsia" w:asciiTheme="minorEastAsia" w:hAnsiTheme="minorEastAsia" w:eastAsiaTheme="minorEastAsia" w:cstheme="minorEastAsia"/>
                <w:b/>
                <w:bCs/>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b/>
                <w:bCs/>
                <w:i w:val="0"/>
                <w:iCs w:val="0"/>
                <w:color w:val="000000"/>
                <w:kern w:val="0"/>
                <w:sz w:val="24"/>
                <w:szCs w:val="24"/>
                <w:u w:val="none"/>
                <w:lang w:val="en-US" w:eastAsia="zh-CN" w:bidi="ar"/>
              </w:rPr>
              <w:t>（元）</w:t>
            </w:r>
          </w:p>
        </w:tc>
      </w:tr>
      <w:tr w14:paraId="0F2E4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7"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CDB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3842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防汛护栏</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65E0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1.定制不锈钢1.5米高防汛护栏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2.立柱：100*100*2mm厚不锈钢（立柱下埋0.3米水泥砂浆基础）；</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3.外框：50*50*1.5mm（1m高）；</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4.里管：38*25*1.2mm；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5.含贴警示条及送货安装。</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042E8">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36.14 </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09F0E">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平方</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AF0B8">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885.00 </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EF9D8">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31,983.90 </w:t>
            </w:r>
          </w:p>
        </w:tc>
      </w:tr>
      <w:tr w14:paraId="40734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8"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0D3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2AFB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告示牌</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2B6D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内容：低洼地带 禁止通行尺寸：1.05m*0.25m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材质：不锈钢腐蚀牌，含安装。</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6854B">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6.00 </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5139F">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块</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14398">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300.00 </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C149E">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1,800.00 </w:t>
            </w:r>
          </w:p>
        </w:tc>
      </w:tr>
      <w:tr w14:paraId="250A5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786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F7F1BC4">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合计</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D1C62">
            <w:pPr>
              <w:keepNext w:val="0"/>
              <w:keepLines w:val="0"/>
              <w:widowControl/>
              <w:suppressLineNumbers w:val="0"/>
              <w:jc w:val="right"/>
              <w:textAlignment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 xml:space="preserve">33,783.90 </w:t>
            </w:r>
          </w:p>
        </w:tc>
      </w:tr>
    </w:tbl>
    <w:p w14:paraId="5ECE01E9">
      <w:pPr>
        <w:pStyle w:val="10"/>
        <w:keepNext w:val="0"/>
        <w:keepLines w:val="0"/>
        <w:pageBreakBefore w:val="0"/>
        <w:kinsoku/>
        <w:wordWrap/>
        <w:overflowPunct/>
        <w:topLinePunct w:val="0"/>
        <w:bidi w:val="0"/>
        <w:adjustRightInd/>
        <w:snapToGrid/>
        <w:spacing w:beforeLines="0" w:afterLines="0" w:line="579" w:lineRule="exact"/>
        <w:textAlignment w:val="auto"/>
        <w:outlineLvl w:val="9"/>
        <w:rPr>
          <w:rFonts w:hint="eastAsia" w:ascii="黑体" w:hAnsi="黑体" w:eastAsia="黑体" w:cs="黑体"/>
          <w:szCs w:val="32"/>
          <w:highlight w:val="none"/>
        </w:rPr>
      </w:pPr>
      <w:r>
        <w:rPr>
          <w:rFonts w:hint="eastAsia" w:ascii="黑体" w:hAnsi="黑体" w:eastAsia="黑体" w:cs="黑体"/>
          <w:szCs w:val="32"/>
          <w:highlight w:val="none"/>
        </w:rPr>
        <w:t>二、技术需求</w:t>
      </w:r>
    </w:p>
    <w:p w14:paraId="52205F53">
      <w:pPr>
        <w:pStyle w:val="2"/>
        <w:ind w:firstLine="640" w:firstLineChars="20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（一）选用高强度、耐腐蚀材料，确保长期稳定性；</w:t>
      </w:r>
    </w:p>
    <w:p w14:paraId="20F8DC15">
      <w:pPr>
        <w:pStyle w:val="2"/>
        <w:ind w:firstLine="64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（二）栅栏结构需具备抗冲击能力，间隙设计符合安全规范，防止人员或动物误入且不影响水流畅通；</w:t>
      </w:r>
    </w:p>
    <w:p w14:paraId="79FA884E">
      <w:pPr>
        <w:pStyle w:val="2"/>
        <w:ind w:firstLine="64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（三）安装过程严格遵循施工标准，保证垂直度、水平度及连接牢固性；</w:t>
      </w:r>
    </w:p>
    <w:p w14:paraId="0FBE4FCA">
      <w:pPr>
        <w:pStyle w:val="2"/>
        <w:ind w:firstLine="64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（四）表面需进行防腐处理（如多层涂层或热浸镀工艺）并加装反光标识或警示色，提升恶劣天气下的可视性；</w:t>
      </w:r>
    </w:p>
    <w:p w14:paraId="2C63F6F0">
      <w:pPr>
        <w:pStyle w:val="2"/>
        <w:ind w:firstLine="64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（五）基础固定应根据地质条件采用混凝土基座或地脚螺栓，确保整体稳固；</w:t>
      </w:r>
    </w:p>
    <w:p w14:paraId="5D389B9D">
      <w:pPr>
        <w:pStyle w:val="2"/>
        <w:ind w:firstLine="640"/>
        <w:jc w:val="left"/>
        <w:rPr>
          <w:rFonts w:hint="eastAsia" w:hAnsi="仿宋_GB2312" w:cs="仿宋_GB2312"/>
          <w:szCs w:val="32"/>
          <w:highlight w:val="none"/>
        </w:rPr>
      </w:pPr>
      <w:r>
        <w:rPr>
          <w:rFonts w:hint="eastAsia" w:ascii="仿宋_GB2312" w:hAnsi="仿宋_GB2312" w:eastAsia="仿宋_GB2312" w:cs="仿宋_GB2312"/>
          <w:kern w:val="2"/>
          <w:sz w:val="32"/>
          <w:szCs w:val="32"/>
          <w:lang w:val="en-US" w:eastAsia="zh-CN" w:bidi="ar-SA"/>
        </w:rPr>
        <w:t>（六）货物安装需符合国家及地方交通安全、水利工程技术标准，并通过第三方检测验收，确保安全性与耐久性达标</w:t>
      </w:r>
      <w:r>
        <w:rPr>
          <w:rFonts w:hint="default" w:ascii="Arial" w:hAnsi="Arial" w:eastAsia="Arial" w:cs="Arial"/>
          <w:i w:val="0"/>
          <w:iCs w:val="0"/>
          <w:caps w:val="0"/>
          <w:color w:val="333333"/>
          <w:spacing w:val="0"/>
          <w:sz w:val="24"/>
          <w:szCs w:val="24"/>
          <w:shd w:val="clear" w:fill="FFFFFF"/>
        </w:rPr>
        <w:t>‌</w:t>
      </w:r>
    </w:p>
    <w:p w14:paraId="5BDE8380">
      <w:pPr>
        <w:pStyle w:val="10"/>
        <w:keepNext w:val="0"/>
        <w:keepLines w:val="0"/>
        <w:pageBreakBefore w:val="0"/>
        <w:kinsoku/>
        <w:overflowPunct/>
        <w:topLinePunct w:val="0"/>
        <w:bidi w:val="0"/>
        <w:adjustRightInd/>
        <w:snapToGrid/>
        <w:spacing w:line="579" w:lineRule="exact"/>
        <w:outlineLvl w:val="1"/>
        <w:rPr>
          <w:rFonts w:hint="eastAsia" w:ascii="黑体" w:hAnsi="黑体" w:eastAsia="黑体" w:cs="黑体"/>
          <w:szCs w:val="32"/>
          <w:highlight w:val="none"/>
        </w:rPr>
      </w:pPr>
      <w:r>
        <w:rPr>
          <w:rFonts w:hint="eastAsia" w:ascii="黑体" w:hAnsi="黑体" w:eastAsia="黑体" w:cs="黑体"/>
          <w:szCs w:val="32"/>
          <w:highlight w:val="none"/>
          <w:lang w:eastAsia="zh-CN"/>
        </w:rPr>
        <w:t>三</w:t>
      </w:r>
      <w:r>
        <w:rPr>
          <w:rFonts w:hint="eastAsia" w:ascii="黑体" w:hAnsi="黑体" w:eastAsia="黑体" w:cs="黑体"/>
          <w:szCs w:val="32"/>
          <w:highlight w:val="none"/>
        </w:rPr>
        <w:t>、商务需求</w:t>
      </w:r>
    </w:p>
    <w:p w14:paraId="4C56F6E4">
      <w:pPr>
        <w:ind w:firstLine="640" w:firstLineChars="200"/>
        <w:jc w:val="both"/>
        <w:rPr>
          <w:rFonts w:hint="eastAsia" w:ascii="仿宋_GB2312" w:hAnsi="仿宋_GB2312" w:eastAsia="仿宋_GB2312" w:cs="仿宋_GB2312"/>
          <w:sz w:val="32"/>
          <w:szCs w:val="32"/>
          <w:highlight w:val="none"/>
        </w:rPr>
      </w:pPr>
      <w:r>
        <w:rPr>
          <w:rFonts w:hint="eastAsia" w:ascii="楷体_GB2312" w:hAnsi="楷体_GB2312" w:eastAsia="楷体_GB2312" w:cs="楷体_GB2312"/>
          <w:sz w:val="32"/>
          <w:szCs w:val="32"/>
        </w:rPr>
        <w:t>（一）交货/完</w:t>
      </w:r>
      <w:r>
        <w:rPr>
          <w:rFonts w:hint="eastAsia" w:ascii="楷体_GB2312" w:hAnsi="楷体_GB2312" w:eastAsia="楷体_GB2312" w:cs="楷体_GB2312"/>
          <w:sz w:val="32"/>
          <w:szCs w:val="32"/>
          <w:highlight w:val="none"/>
        </w:rPr>
        <w:t>工期：</w:t>
      </w:r>
      <w:r>
        <w:rPr>
          <w:rFonts w:hint="eastAsia" w:ascii="仿宋_GB2312" w:hAnsi="仿宋_GB2312" w:eastAsia="仿宋_GB2312" w:cs="仿宋_GB2312"/>
          <w:sz w:val="32"/>
          <w:szCs w:val="32"/>
          <w:highlight w:val="none"/>
        </w:rPr>
        <w:t>合同签定后</w:t>
      </w:r>
      <w:r>
        <w:rPr>
          <w:rFonts w:hint="eastAsia" w:ascii="仿宋_GB2312" w:hAnsi="仿宋_GB2312" w:eastAsia="仿宋_GB2312" w:cs="仿宋_GB2312"/>
          <w:sz w:val="32"/>
          <w:szCs w:val="32"/>
          <w:highlight w:val="none"/>
          <w:lang w:val="en-US" w:eastAsia="zh-CN"/>
        </w:rPr>
        <w:t>30</w:t>
      </w:r>
      <w:r>
        <w:rPr>
          <w:rFonts w:hint="eastAsia" w:ascii="仿宋_GB2312" w:hAnsi="仿宋_GB2312" w:eastAsia="仿宋_GB2312" w:cs="仿宋_GB2312"/>
          <w:sz w:val="32"/>
          <w:szCs w:val="32"/>
          <w:highlight w:val="none"/>
        </w:rPr>
        <w:t>天内。</w:t>
      </w:r>
    </w:p>
    <w:p w14:paraId="3ED79DD5">
      <w:pPr>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highlight w:val="none"/>
        </w:rPr>
        <w:t>交货地点：沙头街道</w:t>
      </w:r>
      <w:r>
        <w:rPr>
          <w:rFonts w:hint="eastAsia" w:ascii="仿宋_GB2312" w:hAnsi="仿宋_GB2312" w:eastAsia="仿宋_GB2312" w:cs="仿宋_GB2312"/>
          <w:sz w:val="32"/>
          <w:szCs w:val="32"/>
          <w:highlight w:val="none"/>
          <w:lang w:eastAsia="zh-CN"/>
        </w:rPr>
        <w:t>新洲</w:t>
      </w:r>
      <w:r>
        <w:rPr>
          <w:rFonts w:hint="eastAsia" w:ascii="仿宋_GB2312" w:hAnsi="仿宋_GB2312" w:eastAsia="仿宋_GB2312" w:cs="仿宋_GB2312"/>
          <w:sz w:val="32"/>
          <w:szCs w:val="32"/>
          <w:highlight w:val="none"/>
        </w:rPr>
        <w:t>社区党群服务中心</w:t>
      </w:r>
      <w:r>
        <w:rPr>
          <w:rFonts w:hint="eastAsia" w:ascii="仿宋_GB2312" w:hAnsi="仿宋_GB2312" w:eastAsia="仿宋_GB2312" w:cs="仿宋_GB2312"/>
          <w:sz w:val="32"/>
          <w:szCs w:val="32"/>
        </w:rPr>
        <w:t>。</w:t>
      </w:r>
    </w:p>
    <w:p w14:paraId="59F256AC">
      <w:pPr>
        <w:pStyle w:val="10"/>
        <w:keepNext w:val="0"/>
        <w:keepLines w:val="0"/>
        <w:pageBreakBefore w:val="0"/>
        <w:widowControl w:val="0"/>
        <w:numPr>
          <w:ilvl w:val="0"/>
          <w:numId w:val="0"/>
        </w:numPr>
        <w:kinsoku/>
        <w:wordWrap/>
        <w:overflowPunct/>
        <w:topLinePunct w:val="0"/>
        <w:autoSpaceDE/>
        <w:autoSpaceDN/>
        <w:bidi w:val="0"/>
        <w:adjustRightInd/>
        <w:snapToGrid/>
        <w:spacing w:after="120" w:line="579" w:lineRule="exact"/>
        <w:ind w:right="0" w:rightChars="0" w:firstLine="640" w:firstLineChars="200"/>
        <w:jc w:val="both"/>
        <w:textAlignment w:val="auto"/>
        <w:outlineLvl w:val="0"/>
        <w:rPr>
          <w:rFonts w:hint="eastAsia" w:ascii="楷体_GB2312" w:hAnsi="楷体_GB2312" w:eastAsia="楷体_GB2312" w:cs="楷体_GB2312"/>
          <w:szCs w:val="32"/>
          <w:lang w:eastAsia="zh-CN"/>
        </w:rPr>
      </w:pPr>
      <w:r>
        <w:rPr>
          <w:rFonts w:hint="eastAsia" w:ascii="楷体_GB2312" w:hAnsi="楷体_GB2312" w:eastAsia="楷体_GB2312" w:cs="楷体_GB2312"/>
          <w:szCs w:val="32"/>
        </w:rPr>
        <w:t>（二）</w:t>
      </w:r>
      <w:r>
        <w:rPr>
          <w:rFonts w:hint="eastAsia" w:ascii="楷体_GB2312" w:hAnsi="楷体_GB2312" w:eastAsia="楷体_GB2312" w:cs="楷体_GB2312"/>
          <w:szCs w:val="32"/>
          <w:lang w:eastAsia="zh-CN"/>
        </w:rPr>
        <w:t>安装期限：</w:t>
      </w:r>
      <w:r>
        <w:rPr>
          <w:rFonts w:hint="eastAsia" w:ascii="楷体_GB2312" w:hAnsi="楷体_GB2312" w:eastAsia="楷体_GB2312" w:cs="楷体_GB2312"/>
          <w:szCs w:val="32"/>
          <w:lang w:val="en-US" w:eastAsia="zh-CN"/>
        </w:rPr>
        <w:t>合同签定后45天内；</w:t>
      </w:r>
    </w:p>
    <w:p w14:paraId="0278E70A">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安装地点：按照社区要求，在新洲两个涵洞（滨河新洲立交2号、滨河新洲立交3号处）安装安全栅栏。</w:t>
      </w:r>
    </w:p>
    <w:p w14:paraId="4CAC017D">
      <w:pPr>
        <w:ind w:firstLine="640" w:firstLineChars="200"/>
        <w:jc w:val="both"/>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三</w:t>
      </w:r>
      <w:r>
        <w:rPr>
          <w:rFonts w:hint="eastAsia" w:ascii="楷体_GB2312" w:hAnsi="楷体_GB2312" w:eastAsia="楷体_GB2312" w:cs="楷体_GB2312"/>
          <w:sz w:val="32"/>
          <w:szCs w:val="32"/>
        </w:rPr>
        <w:t>）报价要求</w:t>
      </w:r>
    </w:p>
    <w:p w14:paraId="1FC148B7">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1.本项目预算金额：</w:t>
      </w:r>
      <w:r>
        <w:rPr>
          <w:rFonts w:hint="eastAsia" w:ascii="仿宋_GB2312" w:hAnsi="仿宋_GB2312" w:eastAsia="仿宋_GB2312" w:cs="仿宋_GB2312"/>
          <w:sz w:val="32"/>
          <w:szCs w:val="32"/>
          <w:highlight w:val="none"/>
        </w:rPr>
        <w:t>人民币</w:t>
      </w:r>
      <w:r>
        <w:rPr>
          <w:rFonts w:hint="eastAsia" w:ascii="仿宋_GB2312" w:hAnsi="仿宋_GB2312" w:eastAsia="仿宋_GB2312" w:cs="仿宋_GB2312"/>
          <w:sz w:val="32"/>
          <w:szCs w:val="32"/>
          <w:highlight w:val="none"/>
          <w:lang w:val="en-US" w:eastAsia="zh-CN"/>
        </w:rPr>
        <w:t>33783.9</w:t>
      </w:r>
      <w:r>
        <w:rPr>
          <w:rFonts w:hint="eastAsia" w:ascii="仿宋_GB2312" w:hAnsi="仿宋_GB2312" w:eastAsia="仿宋_GB2312" w:cs="仿宋_GB2312"/>
          <w:sz w:val="32"/>
          <w:szCs w:val="32"/>
          <w:highlight w:val="none"/>
        </w:rPr>
        <w:t>元，响应报价超过项目预算金额的视为无效</w:t>
      </w:r>
      <w:r>
        <w:rPr>
          <w:rFonts w:hint="eastAsia" w:ascii="仿宋_GB2312" w:hAnsi="仿宋_GB2312" w:eastAsia="仿宋_GB2312" w:cs="仿宋_GB2312"/>
          <w:sz w:val="32"/>
          <w:szCs w:val="32"/>
          <w:highlight w:val="none"/>
          <w:lang w:val="en-US" w:eastAsia="zh-CN"/>
        </w:rPr>
        <w:t>响</w:t>
      </w:r>
      <w:r>
        <w:rPr>
          <w:rFonts w:hint="eastAsia" w:ascii="仿宋_GB2312" w:hAnsi="仿宋_GB2312" w:eastAsia="仿宋_GB2312" w:cs="仿宋_GB2312"/>
          <w:sz w:val="32"/>
          <w:szCs w:val="32"/>
          <w:lang w:val="en-US" w:eastAsia="zh-CN"/>
        </w:rPr>
        <w:t>应</w:t>
      </w:r>
      <w:r>
        <w:rPr>
          <w:rFonts w:hint="eastAsia" w:ascii="仿宋_GB2312" w:hAnsi="仿宋_GB2312" w:eastAsia="仿宋_GB2312" w:cs="仿宋_GB2312"/>
          <w:sz w:val="32"/>
          <w:szCs w:val="32"/>
        </w:rPr>
        <w:t>。</w:t>
      </w:r>
    </w:p>
    <w:p w14:paraId="29DDC0B9">
      <w:pPr>
        <w:pStyle w:val="10"/>
        <w:keepNext w:val="0"/>
        <w:keepLines w:val="0"/>
        <w:pageBreakBefore w:val="0"/>
        <w:widowControl w:val="0"/>
        <w:kinsoku/>
        <w:wordWrap/>
        <w:overflowPunct/>
        <w:topLinePunct w:val="0"/>
        <w:autoSpaceDE/>
        <w:autoSpaceDN/>
        <w:bidi w:val="0"/>
        <w:adjustRightInd/>
        <w:snapToGrid/>
        <w:spacing w:after="120" w:line="579" w:lineRule="exact"/>
        <w:ind w:right="0" w:rightChars="0" w:firstLine="640"/>
        <w:jc w:val="both"/>
        <w:textAlignment w:val="auto"/>
        <w:rPr>
          <w:rFonts w:hint="eastAsia" w:ascii="仿宋_GB2312" w:hAnsi="仿宋_GB2312" w:eastAsia="仿宋_GB2312" w:cs="仿宋_GB2312"/>
          <w:szCs w:val="32"/>
          <w:lang w:val="en-US" w:eastAsia="zh-CN"/>
        </w:rPr>
      </w:pPr>
      <w:r>
        <w:rPr>
          <w:rFonts w:hint="eastAsia" w:ascii="仿宋_GB2312" w:hAnsi="仿宋_GB2312" w:eastAsia="仿宋_GB2312" w:cs="仿宋_GB2312"/>
          <w:szCs w:val="32"/>
          <w:lang w:val="en-US" w:eastAsia="zh-CN"/>
        </w:rPr>
        <w:t>2.响应总价必须是完成该项目的一切费用总和，包括设备费、运输费、装卸费、保险费、技术培训费、设备安装费、调试费、售后服务费、国家规定的各项税费等。</w:t>
      </w:r>
    </w:p>
    <w:p w14:paraId="62951D78">
      <w:pPr>
        <w:pStyle w:val="10"/>
        <w:keepNext w:val="0"/>
        <w:keepLines w:val="0"/>
        <w:pageBreakBefore w:val="0"/>
        <w:widowControl w:val="0"/>
        <w:kinsoku/>
        <w:wordWrap/>
        <w:overflowPunct/>
        <w:topLinePunct w:val="0"/>
        <w:autoSpaceDE/>
        <w:autoSpaceDN/>
        <w:bidi w:val="0"/>
        <w:adjustRightInd/>
        <w:snapToGrid/>
        <w:spacing w:line="579" w:lineRule="exact"/>
        <w:ind w:left="0" w:leftChars="0" w:firstLine="640" w:firstLineChars="200"/>
        <w:jc w:val="both"/>
        <w:textAlignment w:val="auto"/>
        <w:rPr>
          <w:rFonts w:hint="eastAsia" w:hAnsi="仿宋_GB2312" w:eastAsia="仿宋_GB2312" w:cs="仿宋_GB2312"/>
          <w:szCs w:val="32"/>
          <w:lang w:val="en-US" w:eastAsia="zh-CN"/>
        </w:rPr>
      </w:pPr>
      <w:r>
        <w:rPr>
          <w:rFonts w:hint="eastAsia" w:ascii="仿宋_GB2312" w:hAnsi="仿宋_GB2312" w:eastAsia="仿宋_GB2312" w:cs="仿宋_GB2312"/>
          <w:szCs w:val="32"/>
        </w:rPr>
        <w:t>（三）付款方式：</w:t>
      </w:r>
      <w:r>
        <w:rPr>
          <w:rFonts w:hint="eastAsia" w:ascii="仿宋_GB2312" w:hAnsi="仿宋_GB2312" w:eastAsia="仿宋_GB2312" w:cs="仿宋_GB2312"/>
          <w:szCs w:val="32"/>
          <w:lang w:val="en-US" w:eastAsia="zh-CN"/>
        </w:rPr>
        <w:t>货物送达并完成安装后，经采购人验收合格</w:t>
      </w:r>
      <w:r>
        <w:rPr>
          <w:rFonts w:hint="eastAsia" w:hAnsi="仿宋_GB2312" w:eastAsia="仿宋_GB2312" w:cs="仿宋_GB2312"/>
          <w:szCs w:val="32"/>
          <w:lang w:val="en-US" w:eastAsia="zh-CN"/>
        </w:rPr>
        <w:t>，</w:t>
      </w:r>
      <w:r>
        <w:rPr>
          <w:rFonts w:hint="eastAsia" w:ascii="仿宋_GB2312" w:hAnsi="仿宋_GB2312" w:eastAsia="仿宋_GB2312" w:cs="仿宋_GB2312"/>
          <w:szCs w:val="32"/>
          <w:lang w:val="en-US" w:eastAsia="zh-CN"/>
        </w:rPr>
        <w:t>供应商提交合格发票等资料给甲方，甲方在收到资料后15天内付款，具体以合同签订为准。</w:t>
      </w:r>
    </w:p>
    <w:p w14:paraId="402BEC8F">
      <w:pPr>
        <w:pStyle w:val="10"/>
        <w:keepNext w:val="0"/>
        <w:keepLines w:val="0"/>
        <w:pageBreakBefore w:val="0"/>
        <w:widowControl w:val="0"/>
        <w:kinsoku/>
        <w:wordWrap/>
        <w:overflowPunct/>
        <w:topLinePunct w:val="0"/>
        <w:autoSpaceDE/>
        <w:autoSpaceDN/>
        <w:bidi w:val="0"/>
        <w:adjustRightInd/>
        <w:snapToGrid/>
        <w:spacing w:line="579" w:lineRule="exact"/>
        <w:ind w:left="0" w:leftChars="0" w:firstLine="640" w:firstLineChars="200"/>
        <w:jc w:val="both"/>
        <w:textAlignment w:val="auto"/>
        <w:rPr>
          <w:rFonts w:hint="eastAsia" w:ascii="仿宋_GB2312" w:hAnsi="仿宋_GB2312" w:eastAsia="仿宋_GB2312" w:cs="仿宋_GB2312"/>
          <w:szCs w:val="32"/>
          <w:lang w:val="en-US" w:eastAsia="zh-CN"/>
        </w:rPr>
      </w:pPr>
      <w:r>
        <w:rPr>
          <w:rFonts w:hint="eastAsia" w:ascii="仿宋_GB2312" w:hAnsi="仿宋_GB2312" w:eastAsia="仿宋_GB2312" w:cs="仿宋_GB2312"/>
          <w:szCs w:val="32"/>
        </w:rPr>
        <w:t>（四）</w:t>
      </w:r>
      <w:r>
        <w:rPr>
          <w:rFonts w:hint="eastAsia" w:ascii="仿宋_GB2312" w:hAnsi="仿宋_GB2312" w:eastAsia="仿宋_GB2312" w:cs="仿宋_GB2312"/>
          <w:sz w:val="32"/>
          <w:szCs w:val="32"/>
        </w:rPr>
        <w:t>货物运输及包装方式要求：合同中所有的货物均须由供应商自行运往设备安装场所，不论设备从何处购置、采用何种方式运输，采购人不承担任何责任及相关费用。供应商应自行处理货物质量和数量短缺等问题。包装以保证货物的完好无损为标准。</w:t>
      </w:r>
    </w:p>
    <w:p w14:paraId="7FA7A39B">
      <w:pPr>
        <w:pStyle w:val="10"/>
        <w:keepNext w:val="0"/>
        <w:keepLines w:val="0"/>
        <w:pageBreakBefore w:val="0"/>
        <w:widowControl w:val="0"/>
        <w:kinsoku/>
        <w:wordWrap/>
        <w:overflowPunct/>
        <w:topLinePunct w:val="0"/>
        <w:autoSpaceDE/>
        <w:autoSpaceDN/>
        <w:bidi w:val="0"/>
        <w:adjustRightInd/>
        <w:snapToGrid/>
        <w:spacing w:line="579" w:lineRule="exact"/>
        <w:ind w:firstLine="640"/>
        <w:textAlignment w:val="auto"/>
        <w:rPr>
          <w:rFonts w:hint="eastAsia" w:ascii="楷体_GB2312" w:hAnsi="楷体_GB2312" w:eastAsia="楷体_GB2312" w:cs="楷体_GB2312"/>
          <w:szCs w:val="32"/>
        </w:rPr>
      </w:pPr>
      <w:r>
        <w:rPr>
          <w:rFonts w:hint="eastAsia" w:ascii="楷体_GB2312" w:hAnsi="楷体_GB2312" w:eastAsia="楷体_GB2312" w:cs="楷体_GB2312"/>
          <w:szCs w:val="32"/>
        </w:rPr>
        <w:t>（五）安装及验收方式：</w:t>
      </w:r>
    </w:p>
    <w:p w14:paraId="367483ED">
      <w:pPr>
        <w:pStyle w:val="10"/>
        <w:keepNext w:val="0"/>
        <w:keepLines w:val="0"/>
        <w:pageBreakBefore w:val="0"/>
        <w:widowControl w:val="0"/>
        <w:kinsoku/>
        <w:wordWrap/>
        <w:overflowPunct/>
        <w:topLinePunct w:val="0"/>
        <w:autoSpaceDE/>
        <w:autoSpaceDN/>
        <w:bidi w:val="0"/>
        <w:adjustRightInd/>
        <w:snapToGrid/>
        <w:spacing w:line="579" w:lineRule="exact"/>
        <w:ind w:firstLine="640"/>
        <w:textAlignment w:val="auto"/>
        <w:rPr>
          <w:rFonts w:hint="eastAsia" w:ascii="仿宋_GB2312" w:hAnsi="仿宋_GB2312" w:eastAsia="仿宋_GB2312" w:cs="仿宋_GB2312"/>
          <w:szCs w:val="32"/>
          <w:lang w:val="en-US" w:eastAsia="zh-CN"/>
        </w:rPr>
      </w:pPr>
      <w:r>
        <w:rPr>
          <w:rFonts w:hint="eastAsia" w:ascii="仿宋_GB2312" w:hAnsi="仿宋_GB2312" w:eastAsia="仿宋_GB2312" w:cs="仿宋_GB2312"/>
          <w:szCs w:val="32"/>
          <w:lang w:val="en-US" w:eastAsia="zh-CN"/>
        </w:rPr>
        <w:t>1.供应商应派有经验的技术人员到现场进行安装、调试，直到设施设备正常使用；</w:t>
      </w:r>
    </w:p>
    <w:p w14:paraId="3BF97E8F">
      <w:pPr>
        <w:pStyle w:val="10"/>
        <w:keepNext w:val="0"/>
        <w:keepLines w:val="0"/>
        <w:pageBreakBefore w:val="0"/>
        <w:widowControl w:val="0"/>
        <w:kinsoku/>
        <w:wordWrap/>
        <w:overflowPunct/>
        <w:topLinePunct w:val="0"/>
        <w:autoSpaceDE/>
        <w:autoSpaceDN/>
        <w:bidi w:val="0"/>
        <w:adjustRightInd/>
        <w:snapToGrid/>
        <w:spacing w:line="579" w:lineRule="exact"/>
        <w:ind w:firstLine="640"/>
        <w:textAlignment w:val="auto"/>
        <w:rPr>
          <w:rFonts w:hint="eastAsia" w:ascii="仿宋_GB2312" w:hAnsi="仿宋_GB2312" w:eastAsia="仿宋_GB2312" w:cs="仿宋_GB2312"/>
          <w:szCs w:val="32"/>
          <w:lang w:val="en-US" w:eastAsia="zh-CN"/>
        </w:rPr>
      </w:pPr>
      <w:r>
        <w:rPr>
          <w:rFonts w:hint="eastAsia" w:ascii="仿宋_GB2312" w:hAnsi="仿宋_GB2312" w:eastAsia="仿宋_GB2312" w:cs="仿宋_GB2312"/>
          <w:szCs w:val="32"/>
          <w:lang w:val="en-US" w:eastAsia="zh-CN"/>
        </w:rPr>
        <w:t>2.由采购人按合同和采购文件、响应文件约定的要求和标准及中华人民共和国现行的验收规范和评定标准进行交货验收；</w:t>
      </w:r>
    </w:p>
    <w:p w14:paraId="5A92E49B">
      <w:pPr>
        <w:pStyle w:val="10"/>
        <w:keepNext w:val="0"/>
        <w:keepLines w:val="0"/>
        <w:pageBreakBefore w:val="0"/>
        <w:widowControl w:val="0"/>
        <w:kinsoku/>
        <w:wordWrap/>
        <w:overflowPunct/>
        <w:topLinePunct w:val="0"/>
        <w:autoSpaceDE/>
        <w:autoSpaceDN/>
        <w:bidi w:val="0"/>
        <w:adjustRightInd/>
        <w:snapToGrid/>
        <w:spacing w:line="579" w:lineRule="exact"/>
        <w:ind w:firstLine="640"/>
        <w:textAlignment w:val="auto"/>
        <w:rPr>
          <w:rFonts w:hint="eastAsia" w:ascii="仿宋_GB2312" w:hAnsi="仿宋_GB2312" w:eastAsia="仿宋_GB2312" w:cs="仿宋_GB2312"/>
          <w:szCs w:val="32"/>
          <w:lang w:val="en-US" w:eastAsia="zh-CN"/>
        </w:rPr>
      </w:pPr>
      <w:r>
        <w:rPr>
          <w:rFonts w:hint="eastAsia" w:ascii="仿宋_GB2312" w:hAnsi="仿宋_GB2312" w:eastAsia="仿宋_GB2312" w:cs="仿宋_GB2312"/>
          <w:szCs w:val="32"/>
          <w:lang w:val="en-US" w:eastAsia="zh-CN"/>
        </w:rPr>
        <w:t>3.验收要求：①设备全新,外观无伤痕变形或者明显修饰痕迹。②必须符合有关国标的标准规定。③技术文件资料、备件等已按规定数量移交完毕。④无偿提供第三方对供应商提供的技术数据的检测报告。⑤在货物安装调试合格后，所有技术指标达到技术规范书要求，经验收合格后，双方共同签署验收报告。</w:t>
      </w:r>
    </w:p>
    <w:p w14:paraId="72FFE26F">
      <w:pPr>
        <w:pStyle w:val="10"/>
        <w:keepNext w:val="0"/>
        <w:keepLines w:val="0"/>
        <w:pageBreakBefore w:val="0"/>
        <w:widowControl w:val="0"/>
        <w:kinsoku/>
        <w:wordWrap/>
        <w:overflowPunct/>
        <w:topLinePunct w:val="0"/>
        <w:autoSpaceDE/>
        <w:autoSpaceDN/>
        <w:bidi w:val="0"/>
        <w:adjustRightInd/>
        <w:snapToGrid/>
        <w:spacing w:line="579" w:lineRule="exact"/>
        <w:ind w:firstLine="640"/>
        <w:textAlignment w:val="auto"/>
        <w:rPr>
          <w:rFonts w:hint="eastAsia" w:ascii="楷体_GB2312" w:hAnsi="楷体_GB2312" w:eastAsia="楷体_GB2312" w:cs="楷体_GB2312"/>
          <w:szCs w:val="32"/>
        </w:rPr>
      </w:pPr>
      <w:r>
        <w:rPr>
          <w:rFonts w:hint="eastAsia" w:ascii="楷体_GB2312" w:hAnsi="楷体_GB2312" w:eastAsia="楷体_GB2312" w:cs="楷体_GB2312"/>
          <w:szCs w:val="32"/>
        </w:rPr>
        <w:t>（六）售后服务要求：</w:t>
      </w:r>
    </w:p>
    <w:p w14:paraId="0C092296">
      <w:pPr>
        <w:pStyle w:val="10"/>
        <w:keepNext w:val="0"/>
        <w:keepLines w:val="0"/>
        <w:pageBreakBefore w:val="0"/>
        <w:widowControl w:val="0"/>
        <w:kinsoku/>
        <w:wordWrap/>
        <w:overflowPunct/>
        <w:topLinePunct w:val="0"/>
        <w:autoSpaceDE/>
        <w:autoSpaceDN/>
        <w:bidi w:val="0"/>
        <w:adjustRightInd/>
        <w:snapToGrid/>
        <w:spacing w:line="579" w:lineRule="exact"/>
        <w:ind w:firstLine="640"/>
        <w:textAlignment w:val="auto"/>
        <w:rPr>
          <w:rFonts w:hint="eastAsia" w:ascii="仿宋_GB2312" w:hAnsi="仿宋_GB2312" w:eastAsia="仿宋_GB2312" w:cs="仿宋_GB2312"/>
          <w:szCs w:val="32"/>
          <w:lang w:val="en-US" w:eastAsia="zh-CN"/>
        </w:rPr>
      </w:pPr>
      <w:r>
        <w:rPr>
          <w:rFonts w:hint="eastAsia" w:ascii="仿宋_GB2312" w:hAnsi="仿宋_GB2312" w:eastAsia="仿宋_GB2312" w:cs="仿宋_GB2312"/>
          <w:szCs w:val="32"/>
          <w:lang w:val="en-US" w:eastAsia="zh-CN"/>
        </w:rPr>
        <w:t>质量保证期为 3 年。在此期间，如遇与所供产品有关的问题，供应商应在接采购人通知后 8 小时内赶到现场提供免费服务。</w:t>
      </w:r>
    </w:p>
    <w:p w14:paraId="72354638">
      <w:pPr>
        <w:pStyle w:val="10"/>
        <w:keepNext w:val="0"/>
        <w:keepLines w:val="0"/>
        <w:pageBreakBefore w:val="0"/>
        <w:widowControl w:val="0"/>
        <w:kinsoku/>
        <w:wordWrap/>
        <w:overflowPunct/>
        <w:topLinePunct w:val="0"/>
        <w:autoSpaceDE/>
        <w:autoSpaceDN/>
        <w:bidi w:val="0"/>
        <w:adjustRightInd/>
        <w:snapToGrid/>
        <w:spacing w:line="579" w:lineRule="exact"/>
        <w:ind w:firstLine="640"/>
        <w:textAlignment w:val="auto"/>
        <w:rPr>
          <w:rFonts w:hint="eastAsia" w:ascii="仿宋_GB2312" w:hAnsi="仿宋_GB2312" w:eastAsia="仿宋_GB2312" w:cs="仿宋_GB2312"/>
          <w:szCs w:val="32"/>
          <w:lang w:val="en-US" w:eastAsia="zh-CN"/>
        </w:rPr>
      </w:pPr>
      <w:r>
        <w:rPr>
          <w:rFonts w:hint="eastAsia" w:ascii="仿宋_GB2312" w:hAnsi="仿宋_GB2312" w:eastAsia="仿宋_GB2312" w:cs="仿宋_GB2312"/>
          <w:szCs w:val="32"/>
          <w:lang w:val="en-US" w:eastAsia="zh-CN"/>
        </w:rPr>
        <w:t>2.在质保期内，供应商应无偿并迅速更换由于元件缺陷及制造工艺等问题而发生故障的产品。</w:t>
      </w:r>
    </w:p>
    <w:p w14:paraId="58EB07DB">
      <w:pPr>
        <w:pStyle w:val="10"/>
        <w:keepNext w:val="0"/>
        <w:keepLines w:val="0"/>
        <w:pageBreakBefore w:val="0"/>
        <w:widowControl w:val="0"/>
        <w:kinsoku/>
        <w:wordWrap/>
        <w:overflowPunct/>
        <w:topLinePunct w:val="0"/>
        <w:autoSpaceDE/>
        <w:autoSpaceDN/>
        <w:bidi w:val="0"/>
        <w:adjustRightInd/>
        <w:snapToGrid/>
        <w:spacing w:line="579" w:lineRule="exact"/>
        <w:ind w:firstLine="640"/>
        <w:textAlignment w:val="auto"/>
        <w:rPr>
          <w:rFonts w:hint="eastAsia" w:ascii="仿宋_GB2312" w:hAnsi="仿宋_GB2312" w:eastAsia="仿宋_GB2312" w:cs="仿宋_GB2312"/>
          <w:szCs w:val="32"/>
          <w:lang w:val="en-US" w:eastAsia="zh-CN"/>
        </w:rPr>
      </w:pPr>
      <w:r>
        <w:rPr>
          <w:rFonts w:hint="eastAsia" w:ascii="仿宋_GB2312" w:hAnsi="仿宋_GB2312" w:eastAsia="仿宋_GB2312" w:cs="仿宋_GB2312"/>
          <w:szCs w:val="32"/>
          <w:lang w:val="en-US" w:eastAsia="zh-CN"/>
        </w:rPr>
        <w:t>3.在保质期满以后，供应商应按其在深圳地区同类产品的优惠价格提供保修服务。</w:t>
      </w:r>
    </w:p>
    <w:p w14:paraId="00FE32B9">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1"/>
        <w:rPr>
          <w:rFonts w:ascii="黑体" w:hAnsi="黑体" w:eastAsia="黑体" w:cs="黑体"/>
          <w:bCs/>
          <w:sz w:val="32"/>
          <w:szCs w:val="32"/>
        </w:rPr>
      </w:pPr>
      <w:r>
        <w:rPr>
          <w:rFonts w:hint="eastAsia" w:ascii="黑体" w:hAnsi="黑体" w:eastAsia="黑体" w:cs="黑体"/>
          <w:bCs/>
          <w:sz w:val="32"/>
          <w:szCs w:val="32"/>
        </w:rPr>
        <w:t>四、供应商资格要求</w:t>
      </w:r>
    </w:p>
    <w:p w14:paraId="720DA132">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1.响应供应商须为具有独立承担民事责任能力的法人或非法人组织（独立法人提供营业执照扫描件或复印件；非法人组织则提供主管部门颁发或批准成立的证书或其他证明文件扫描件或复印件）；</w:t>
      </w:r>
    </w:p>
    <w:p w14:paraId="0CC05926">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2.满足《中华人民共和国政府采购法》第二十二条规定；</w:t>
      </w:r>
    </w:p>
    <w:p w14:paraId="7607A0BE">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3.单位负责人为同一人或者存在直接控股、管理关系的不同供应商，不得参加同一合同项下的政府采购活动；</w:t>
      </w:r>
    </w:p>
    <w:p w14:paraId="0928CA0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4.本项目不接受联合体投标，不允许分包转包，不接受供应商采用进口产品参与投标。</w:t>
      </w:r>
    </w:p>
    <w:p w14:paraId="305A0D1C">
      <w:pPr>
        <w:pStyle w:val="10"/>
        <w:keepNext w:val="0"/>
        <w:keepLines w:val="0"/>
        <w:pageBreakBefore w:val="0"/>
        <w:widowControl w:val="0"/>
        <w:kinsoku/>
        <w:wordWrap/>
        <w:overflowPunct/>
        <w:topLinePunct w:val="0"/>
        <w:autoSpaceDE/>
        <w:autoSpaceDN/>
        <w:bidi w:val="0"/>
        <w:adjustRightInd/>
        <w:snapToGrid/>
        <w:spacing w:line="579" w:lineRule="exact"/>
        <w:ind w:left="0" w:leftChars="0" w:firstLine="640"/>
        <w:textAlignment w:val="auto"/>
        <w:outlineLvl w:val="0"/>
        <w:rPr>
          <w:rFonts w:ascii="黑体" w:hAnsi="黑体" w:eastAsia="黑体" w:cs="黑体"/>
          <w:szCs w:val="32"/>
        </w:rPr>
      </w:pPr>
      <w:r>
        <w:rPr>
          <w:rFonts w:hint="eastAsia" w:ascii="黑体" w:hAnsi="黑体" w:eastAsia="黑体" w:cs="黑体"/>
          <w:szCs w:val="32"/>
          <w:lang w:eastAsia="zh-CN"/>
        </w:rPr>
        <w:t>五</w:t>
      </w:r>
      <w:r>
        <w:rPr>
          <w:rFonts w:hint="eastAsia" w:ascii="黑体" w:hAnsi="黑体" w:eastAsia="黑体" w:cs="黑体"/>
          <w:szCs w:val="32"/>
        </w:rPr>
        <w:t>、投标时提交的资料</w:t>
      </w:r>
    </w:p>
    <w:p w14:paraId="73DA230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递交投标响应文件需提交的资料包含但不限于以下内容项目：1.营业执照复印件；2.单位法人证明书原件及法人身份证复印件、授权委托书原件及被授权人身份证复印件；3.公司基本简介；4.详细报价文件；5.所投产品介绍（材质、尺寸、技术参数介绍，彩页等）；</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color w:val="auto"/>
          <w:sz w:val="32"/>
          <w:szCs w:val="32"/>
        </w:rPr>
        <w:t>项目实施方案</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售后服务</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sz w:val="32"/>
          <w:szCs w:val="32"/>
        </w:rPr>
        <w:t>同类业绩</w:t>
      </w:r>
      <w:r>
        <w:rPr>
          <w:rFonts w:hint="eastAsia" w:ascii="仿宋_GB2312" w:hAnsi="仿宋_GB2312" w:eastAsia="仿宋_GB2312" w:cs="仿宋_GB2312"/>
          <w:sz w:val="32"/>
          <w:szCs w:val="32"/>
          <w:lang w:val="en-US" w:eastAsia="zh-CN"/>
        </w:rPr>
        <w:t>;9.履约评价；10.</w:t>
      </w:r>
      <w:r>
        <w:rPr>
          <w:rFonts w:hint="eastAsia" w:ascii="仿宋_GB2312" w:hAnsi="仿宋_GB2312" w:eastAsia="仿宋_GB2312" w:cs="仿宋_GB2312"/>
          <w:bCs/>
          <w:i w:val="0"/>
          <w:iCs w:val="0"/>
          <w:caps w:val="0"/>
          <w:color w:val="auto"/>
          <w:spacing w:val="0"/>
          <w:sz w:val="32"/>
          <w:szCs w:val="32"/>
          <w:highlight w:val="none"/>
          <w:shd w:val="clear" w:fill="FFFFFF"/>
          <w:lang w:val="en-US" w:eastAsia="zh-CN"/>
        </w:rPr>
        <w:t>供应商基本情况表（附件1）；11.</w:t>
      </w:r>
      <w:r>
        <w:rPr>
          <w:rFonts w:hint="eastAsia" w:ascii="仿宋_GB2312" w:hAnsi="仿宋_GB2312" w:eastAsia="仿宋_GB2312" w:cs="仿宋_GB2312"/>
          <w:bCs/>
          <w:i w:val="0"/>
          <w:iCs w:val="0"/>
          <w:caps w:val="0"/>
          <w:color w:val="auto"/>
          <w:spacing w:val="0"/>
          <w:sz w:val="32"/>
          <w:szCs w:val="32"/>
          <w:highlight w:val="none"/>
          <w:shd w:val="clear" w:fill="auto"/>
          <w:lang w:val="en-US" w:eastAsia="zh-CN"/>
        </w:rPr>
        <w:t>政府采购违法行为风险知悉确认书（附件2）；12.</w:t>
      </w:r>
      <w:r>
        <w:rPr>
          <w:rFonts w:hint="eastAsia" w:ascii="仿宋_GB2312" w:hAnsi="仿宋_GB2312" w:eastAsia="仿宋_GB2312" w:cs="仿宋_GB2312"/>
          <w:b w:val="0"/>
          <w:bCs/>
          <w:color w:val="auto"/>
          <w:sz w:val="32"/>
          <w:szCs w:val="32"/>
          <w:highlight w:val="none"/>
          <w:lang w:val="en-US" w:eastAsia="zh-CN"/>
        </w:rPr>
        <w:t>履约承诺函（附件3）；13.</w:t>
      </w:r>
      <w:r>
        <w:rPr>
          <w:rFonts w:hint="eastAsia" w:ascii="仿宋_GB2312" w:hAnsi="仿宋_GB2312" w:eastAsia="仿宋_GB2312" w:cs="仿宋_GB2312"/>
          <w:bCs/>
          <w:i w:val="0"/>
          <w:iCs w:val="0"/>
          <w:caps w:val="0"/>
          <w:color w:val="auto"/>
          <w:spacing w:val="0"/>
          <w:sz w:val="32"/>
          <w:szCs w:val="32"/>
          <w:highlight w:val="none"/>
          <w:shd w:val="clear" w:fill="auto"/>
          <w:lang w:val="en-US" w:eastAsia="zh-CN"/>
        </w:rPr>
        <w:t>诚信承诺函（附件4）。</w:t>
      </w:r>
    </w:p>
    <w:p w14:paraId="559BA1A7">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上资料均须加盖投标单位公章，供应商递交的投标响应文件须密封完好，并在密封处加盖投标人公章。响应时间截止后，采购人将另行通知递交响应文件的供应商参加采购项目谈判会议的时间（未参与谈判的供应商视为其投标无效）。</w:t>
      </w:r>
    </w:p>
    <w:p w14:paraId="6A04C216">
      <w:pPr>
        <w:pStyle w:val="10"/>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hint="eastAsia" w:hAnsi="仿宋_GB2312" w:cs="仿宋_GB2312"/>
          <w:sz w:val="32"/>
          <w:szCs w:val="32"/>
          <w:highlight w:val="none"/>
          <w:lang w:val="en-US" w:eastAsia="zh-CN"/>
        </w:rPr>
      </w:pPr>
    </w:p>
    <w:p w14:paraId="44FF4EDE">
      <w:pPr>
        <w:pStyle w:val="10"/>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hint="default" w:hAnsi="仿宋_GB2312" w:cs="仿宋_GB2312"/>
          <w:sz w:val="32"/>
          <w:szCs w:val="32"/>
          <w:highlight w:val="none"/>
          <w:lang w:val="en-US" w:eastAsia="zh-CN"/>
        </w:rPr>
      </w:pPr>
      <w:r>
        <w:rPr>
          <w:rFonts w:hint="eastAsia" w:hAnsi="仿宋_GB2312" w:cs="仿宋_GB2312"/>
          <w:sz w:val="32"/>
          <w:szCs w:val="32"/>
          <w:highlight w:val="none"/>
          <w:lang w:val="en-US" w:eastAsia="zh-CN"/>
        </w:rPr>
        <w:t>附件：1.供应商基本情况表</w:t>
      </w:r>
    </w:p>
    <w:p w14:paraId="6D892A22">
      <w:pPr>
        <w:pStyle w:val="10"/>
        <w:keepNext w:val="0"/>
        <w:keepLines w:val="0"/>
        <w:pageBreakBefore w:val="0"/>
        <w:widowControl w:val="0"/>
        <w:kinsoku/>
        <w:overflowPunct/>
        <w:topLinePunct w:val="0"/>
        <w:autoSpaceDE/>
        <w:autoSpaceDN/>
        <w:bidi w:val="0"/>
        <w:adjustRightInd/>
        <w:snapToGrid/>
        <w:spacing w:line="579" w:lineRule="exact"/>
        <w:ind w:firstLine="1600" w:firstLineChars="500"/>
        <w:textAlignment w:val="auto"/>
        <w:rPr>
          <w:rFonts w:hint="eastAsia" w:hAnsi="仿宋_GB2312" w:cs="仿宋_GB2312"/>
          <w:sz w:val="32"/>
          <w:szCs w:val="32"/>
          <w:highlight w:val="none"/>
          <w:lang w:val="en-US" w:eastAsia="zh-CN"/>
        </w:rPr>
      </w:pPr>
      <w:r>
        <w:rPr>
          <w:rFonts w:hint="eastAsia" w:hAnsi="仿宋_GB2312" w:cs="仿宋_GB2312"/>
          <w:sz w:val="32"/>
          <w:szCs w:val="32"/>
          <w:highlight w:val="none"/>
          <w:lang w:val="en-US" w:eastAsia="zh-CN"/>
        </w:rPr>
        <w:t>2.政府采购违法行为风险知悉确认书</w:t>
      </w:r>
    </w:p>
    <w:p w14:paraId="5C07BCB1">
      <w:pPr>
        <w:pStyle w:val="10"/>
        <w:keepNext w:val="0"/>
        <w:keepLines w:val="0"/>
        <w:pageBreakBefore w:val="0"/>
        <w:widowControl w:val="0"/>
        <w:kinsoku/>
        <w:overflowPunct/>
        <w:topLinePunct w:val="0"/>
        <w:autoSpaceDE/>
        <w:autoSpaceDN/>
        <w:bidi w:val="0"/>
        <w:adjustRightInd/>
        <w:snapToGrid/>
        <w:spacing w:line="579" w:lineRule="exact"/>
        <w:ind w:firstLine="1600" w:firstLineChars="500"/>
        <w:textAlignment w:val="auto"/>
        <w:rPr>
          <w:rFonts w:hint="eastAsia" w:hAnsi="仿宋_GB2312" w:cs="仿宋_GB2312"/>
          <w:sz w:val="32"/>
          <w:szCs w:val="32"/>
          <w:highlight w:val="none"/>
          <w:lang w:val="en-US" w:eastAsia="zh-CN"/>
        </w:rPr>
      </w:pPr>
      <w:r>
        <w:rPr>
          <w:rFonts w:hint="eastAsia" w:hAnsi="仿宋_GB2312" w:cs="仿宋_GB2312"/>
          <w:sz w:val="32"/>
          <w:szCs w:val="32"/>
          <w:highlight w:val="none"/>
          <w:lang w:val="en-US" w:eastAsia="zh-CN"/>
        </w:rPr>
        <w:t>3.履约承诺函</w:t>
      </w:r>
    </w:p>
    <w:p w14:paraId="0C6D9A19">
      <w:pPr>
        <w:pStyle w:val="10"/>
        <w:ind w:firstLine="1600" w:firstLineChars="500"/>
        <w:rPr>
          <w:rFonts w:hint="eastAsia" w:ascii="仿宋_GB2312" w:hAnsi="仿宋_GB2312" w:eastAsia="仿宋_GB2312" w:cs="仿宋_GB2312"/>
          <w:bCs/>
          <w:sz w:val="32"/>
          <w:szCs w:val="32"/>
          <w:highlight w:val="none"/>
          <w:lang w:eastAsia="zh-CN"/>
        </w:rPr>
      </w:pPr>
      <w:r>
        <w:rPr>
          <w:rFonts w:hint="eastAsia" w:hAnsi="仿宋_GB2312" w:cs="仿宋_GB2312"/>
          <w:sz w:val="32"/>
          <w:szCs w:val="32"/>
          <w:highlight w:val="none"/>
          <w:lang w:val="en-US" w:eastAsia="zh-CN"/>
        </w:rPr>
        <w:t>4.诚信承诺函</w:t>
      </w:r>
      <w:r>
        <w:rPr>
          <w:rFonts w:hint="eastAsia" w:ascii="仿宋_GB2312" w:hAnsi="仿宋_GB2312" w:eastAsia="仿宋_GB2312" w:cs="仿宋_GB2312"/>
          <w:bCs/>
          <w:kern w:val="2"/>
          <w:sz w:val="32"/>
          <w:szCs w:val="32"/>
          <w:lang w:val="en-US" w:eastAsia="zh-CN" w:bidi="ar-SA"/>
        </w:rPr>
        <w:t xml:space="preserve">  </w:t>
      </w:r>
    </w:p>
    <w:p w14:paraId="2E4268A3">
      <w:pPr>
        <w:pStyle w:val="2"/>
      </w:pPr>
    </w:p>
    <w:p w14:paraId="1E7823E6"/>
    <w:p w14:paraId="65419604">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 xml:space="preserve">                 深圳市福田区沙头街道办事处    </w:t>
      </w:r>
    </w:p>
    <w:p w14:paraId="58D166DB">
      <w:pPr>
        <w:widowControl/>
        <w:wordWrap w:val="0"/>
        <w:snapToGrid/>
        <w:spacing w:before="0" w:beforeLines="0" w:after="0" w:afterLines="0" w:line="579" w:lineRule="exact"/>
        <w:jc w:val="both"/>
        <w:outlineLvl w:val="0"/>
        <w:rPr>
          <w:rFonts w:hint="eastAsia" w:ascii="黑体" w:hAnsi="黑体" w:eastAsia="黑体" w:cs="黑体"/>
          <w:b w:val="0"/>
          <w:bCs/>
          <w:kern w:val="2"/>
          <w:sz w:val="32"/>
          <w:szCs w:val="32"/>
          <w:highlight w:val="none"/>
          <w:lang w:val="en-US" w:eastAsia="zh-CN" w:bidi="ar-SA"/>
        </w:rPr>
        <w:sectPr>
          <w:footerReference r:id="rId3" w:type="default"/>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bCs/>
          <w:kern w:val="2"/>
          <w:sz w:val="32"/>
          <w:szCs w:val="32"/>
          <w:lang w:val="en-US" w:eastAsia="zh-CN" w:bidi="ar-SA"/>
        </w:rPr>
        <w:t xml:space="preserve">                            2025年4月7日</w:t>
      </w:r>
    </w:p>
    <w:p w14:paraId="394A7640">
      <w:pPr>
        <w:widowControl/>
        <w:wordWrap w:val="0"/>
        <w:snapToGrid/>
        <w:spacing w:before="0" w:beforeLines="0" w:after="0" w:afterLines="0" w:line="579" w:lineRule="exact"/>
        <w:jc w:val="both"/>
        <w:outlineLvl w:val="0"/>
        <w:rPr>
          <w:rFonts w:hint="eastAsia" w:ascii="黑体" w:hAnsi="黑体" w:eastAsia="黑体" w:cs="黑体"/>
          <w:b w:val="0"/>
          <w:bCs/>
          <w:kern w:val="2"/>
          <w:sz w:val="32"/>
          <w:szCs w:val="32"/>
          <w:highlight w:val="none"/>
          <w:lang w:val="en-US" w:eastAsia="zh-CN" w:bidi="ar-SA"/>
        </w:rPr>
      </w:pPr>
      <w:r>
        <w:rPr>
          <w:rFonts w:hint="eastAsia" w:ascii="黑体" w:hAnsi="黑体" w:eastAsia="黑体" w:cs="黑体"/>
          <w:b w:val="0"/>
          <w:bCs/>
          <w:kern w:val="2"/>
          <w:sz w:val="32"/>
          <w:szCs w:val="32"/>
          <w:highlight w:val="none"/>
          <w:lang w:val="en-US" w:eastAsia="zh-CN" w:bidi="ar-SA"/>
        </w:rPr>
        <w:t>附件1</w:t>
      </w:r>
    </w:p>
    <w:p w14:paraId="76AABD88">
      <w:pPr>
        <w:widowControl w:val="0"/>
        <w:snapToGrid w:val="0"/>
        <w:spacing w:before="0" w:after="0" w:line="240" w:lineRule="auto"/>
        <w:jc w:val="center"/>
        <w:outlineLvl w:val="0"/>
        <w:rPr>
          <w:rFonts w:hint="eastAsia" w:ascii="方正小标宋简体" w:hAnsi="方正小标宋简体" w:eastAsia="方正小标宋简体" w:cs="方正小标宋简体"/>
          <w:b w:val="0"/>
          <w:bCs w:val="0"/>
          <w:kern w:val="2"/>
          <w:sz w:val="44"/>
          <w:szCs w:val="44"/>
          <w:lang w:val="en-US" w:eastAsia="zh-CN" w:bidi="ar-SA"/>
        </w:rPr>
      </w:pPr>
      <w:r>
        <w:rPr>
          <w:rFonts w:hint="eastAsia" w:ascii="方正小标宋简体" w:hAnsi="方正小标宋简体" w:eastAsia="方正小标宋简体" w:cs="方正小标宋简体"/>
          <w:b w:val="0"/>
          <w:bCs w:val="0"/>
          <w:kern w:val="2"/>
          <w:sz w:val="44"/>
          <w:szCs w:val="44"/>
          <w:lang w:val="en-US" w:eastAsia="zh-CN" w:bidi="ar-SA"/>
        </w:rPr>
        <w:t>供应商基本情况表</w:t>
      </w:r>
    </w:p>
    <w:p w14:paraId="65D56A71">
      <w:pPr>
        <w:jc w:val="cente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填表单位：（加盖单位公章）</w:t>
      </w:r>
      <w:r>
        <w:rPr>
          <w:rFonts w:hint="eastAsia" w:ascii="方正仿宋_GBK" w:hAnsi="方正仿宋_GBK" w:eastAsia="方正仿宋_GBK" w:cs="方正仿宋_GBK"/>
          <w:sz w:val="28"/>
          <w:szCs w:val="28"/>
          <w:lang w:val="en-US" w:eastAsia="zh-CN"/>
        </w:rPr>
        <w:tab/>
      </w:r>
      <w:r>
        <w:rPr>
          <w:rFonts w:hint="eastAsia" w:ascii="方正仿宋_GBK" w:hAnsi="方正仿宋_GBK" w:eastAsia="方正仿宋_GBK" w:cs="方正仿宋_GBK"/>
          <w:sz w:val="28"/>
          <w:szCs w:val="28"/>
          <w:lang w:val="en-US" w:eastAsia="zh-CN"/>
        </w:rPr>
        <w:tab/>
      </w:r>
      <w:r>
        <w:rPr>
          <w:rFonts w:hint="eastAsia" w:ascii="方正仿宋_GBK" w:hAnsi="方正仿宋_GBK" w:eastAsia="方正仿宋_GBK" w:cs="方正仿宋_GBK"/>
          <w:sz w:val="28"/>
          <w:szCs w:val="28"/>
          <w:lang w:val="en-US" w:eastAsia="zh-CN"/>
        </w:rPr>
        <w:t xml:space="preserve">   填表日期：    年   月   日</w:t>
      </w:r>
    </w:p>
    <w:tbl>
      <w:tblPr>
        <w:tblStyle w:val="12"/>
        <w:tblW w:w="8976" w:type="dxa"/>
        <w:tblInd w:w="-1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1"/>
        <w:gridCol w:w="779"/>
        <w:gridCol w:w="1606"/>
        <w:gridCol w:w="947"/>
        <w:gridCol w:w="755"/>
        <w:gridCol w:w="1236"/>
        <w:gridCol w:w="1500"/>
        <w:gridCol w:w="1352"/>
      </w:tblGrid>
      <w:tr w14:paraId="32074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580" w:type="dxa"/>
            <w:gridSpan w:val="2"/>
            <w:vAlign w:val="center"/>
          </w:tcPr>
          <w:p w14:paraId="7897EE54">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采购人</w:t>
            </w:r>
          </w:p>
        </w:tc>
        <w:tc>
          <w:tcPr>
            <w:tcW w:w="2553" w:type="dxa"/>
            <w:gridSpan w:val="2"/>
            <w:vAlign w:val="center"/>
          </w:tcPr>
          <w:p w14:paraId="73335EB4">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vAlign w:val="center"/>
          </w:tcPr>
          <w:p w14:paraId="167B5C7D">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项目名称</w:t>
            </w:r>
          </w:p>
        </w:tc>
        <w:tc>
          <w:tcPr>
            <w:tcW w:w="2852" w:type="dxa"/>
            <w:gridSpan w:val="2"/>
            <w:vAlign w:val="center"/>
          </w:tcPr>
          <w:p w14:paraId="5110F4C3">
            <w:pPr>
              <w:jc w:val="center"/>
              <w:rPr>
                <w:rFonts w:hint="eastAsia" w:ascii="方正仿宋_GBK" w:hAnsi="方正仿宋_GBK" w:eastAsia="方正仿宋_GBK" w:cs="方正仿宋_GBK"/>
                <w:sz w:val="24"/>
                <w:szCs w:val="24"/>
                <w:vertAlign w:val="baseline"/>
                <w:lang w:val="en-US" w:eastAsia="zh-CN"/>
              </w:rPr>
            </w:pPr>
          </w:p>
        </w:tc>
      </w:tr>
      <w:tr w14:paraId="04A5E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0" w:type="dxa"/>
            <w:gridSpan w:val="2"/>
            <w:vAlign w:val="center"/>
          </w:tcPr>
          <w:p w14:paraId="5126F7B7">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投标（响应）供应商</w:t>
            </w:r>
          </w:p>
        </w:tc>
        <w:tc>
          <w:tcPr>
            <w:tcW w:w="2553" w:type="dxa"/>
            <w:gridSpan w:val="2"/>
            <w:vAlign w:val="center"/>
          </w:tcPr>
          <w:p w14:paraId="4A5C3FAB">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vAlign w:val="center"/>
          </w:tcPr>
          <w:p w14:paraId="448D5EB2">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供应商统一社会信用代码</w:t>
            </w:r>
          </w:p>
        </w:tc>
        <w:tc>
          <w:tcPr>
            <w:tcW w:w="2852" w:type="dxa"/>
            <w:gridSpan w:val="2"/>
            <w:vAlign w:val="center"/>
          </w:tcPr>
          <w:p w14:paraId="494E9F99">
            <w:pPr>
              <w:jc w:val="center"/>
              <w:rPr>
                <w:rFonts w:hint="eastAsia" w:ascii="方正仿宋_GBK" w:hAnsi="方正仿宋_GBK" w:eastAsia="方正仿宋_GBK" w:cs="方正仿宋_GBK"/>
                <w:sz w:val="24"/>
                <w:szCs w:val="24"/>
                <w:vertAlign w:val="baseline"/>
                <w:lang w:val="en-US" w:eastAsia="zh-CN"/>
              </w:rPr>
            </w:pPr>
          </w:p>
        </w:tc>
      </w:tr>
      <w:tr w14:paraId="2A9C3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76" w:type="dxa"/>
            <w:gridSpan w:val="8"/>
            <w:vAlign w:val="center"/>
          </w:tcPr>
          <w:p w14:paraId="14F907EA">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投标（响应）供应商相关人员情况</w:t>
            </w:r>
          </w:p>
        </w:tc>
      </w:tr>
      <w:tr w14:paraId="11030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dxa"/>
            <w:tcBorders>
              <w:bottom w:val="single" w:color="auto" w:sz="4" w:space="0"/>
            </w:tcBorders>
            <w:vAlign w:val="center"/>
          </w:tcPr>
          <w:p w14:paraId="5078CAFF">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序号</w:t>
            </w:r>
          </w:p>
        </w:tc>
        <w:tc>
          <w:tcPr>
            <w:tcW w:w="2385" w:type="dxa"/>
            <w:gridSpan w:val="2"/>
            <w:tcBorders>
              <w:bottom w:val="single" w:color="auto" w:sz="4" w:space="0"/>
            </w:tcBorders>
            <w:vAlign w:val="center"/>
          </w:tcPr>
          <w:p w14:paraId="48A8572F">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职务</w:t>
            </w:r>
          </w:p>
        </w:tc>
        <w:tc>
          <w:tcPr>
            <w:tcW w:w="947" w:type="dxa"/>
            <w:tcBorders>
              <w:bottom w:val="single" w:color="auto" w:sz="4" w:space="0"/>
            </w:tcBorders>
            <w:vAlign w:val="center"/>
          </w:tcPr>
          <w:p w14:paraId="1F56C894">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姓名</w:t>
            </w:r>
          </w:p>
        </w:tc>
        <w:tc>
          <w:tcPr>
            <w:tcW w:w="1991" w:type="dxa"/>
            <w:gridSpan w:val="2"/>
            <w:tcBorders>
              <w:bottom w:val="single" w:color="auto" w:sz="4" w:space="0"/>
            </w:tcBorders>
            <w:vAlign w:val="center"/>
          </w:tcPr>
          <w:p w14:paraId="31B1CEA2">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身份证号码</w:t>
            </w:r>
          </w:p>
        </w:tc>
        <w:tc>
          <w:tcPr>
            <w:tcW w:w="1500" w:type="dxa"/>
            <w:tcBorders>
              <w:bottom w:val="single" w:color="auto" w:sz="4" w:space="0"/>
            </w:tcBorders>
            <w:vAlign w:val="center"/>
          </w:tcPr>
          <w:p w14:paraId="76D21921">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劳动合同</w:t>
            </w:r>
          </w:p>
          <w:p w14:paraId="438A6C75">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关系单位</w:t>
            </w:r>
          </w:p>
        </w:tc>
        <w:tc>
          <w:tcPr>
            <w:tcW w:w="1352" w:type="dxa"/>
            <w:tcBorders>
              <w:bottom w:val="single" w:color="auto" w:sz="4" w:space="0"/>
            </w:tcBorders>
            <w:vAlign w:val="center"/>
          </w:tcPr>
          <w:p w14:paraId="5854E2ED">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缴纳社会</w:t>
            </w:r>
          </w:p>
          <w:p w14:paraId="0C08E344">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保险单位</w:t>
            </w:r>
          </w:p>
        </w:tc>
      </w:tr>
      <w:tr w14:paraId="00E70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dxa"/>
            <w:tcBorders>
              <w:top w:val="single" w:color="auto" w:sz="4" w:space="0"/>
              <w:left w:val="single" w:color="auto" w:sz="4" w:space="0"/>
              <w:bottom w:val="single" w:color="auto" w:sz="4" w:space="0"/>
              <w:right w:val="single" w:color="auto" w:sz="4" w:space="0"/>
            </w:tcBorders>
            <w:vAlign w:val="center"/>
          </w:tcPr>
          <w:p w14:paraId="53C56D41">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1</w:t>
            </w:r>
          </w:p>
        </w:tc>
        <w:tc>
          <w:tcPr>
            <w:tcW w:w="2385" w:type="dxa"/>
            <w:gridSpan w:val="2"/>
            <w:tcBorders>
              <w:top w:val="single" w:color="auto" w:sz="4" w:space="0"/>
              <w:left w:val="single" w:color="auto" w:sz="4" w:space="0"/>
              <w:bottom w:val="single" w:color="auto" w:sz="4" w:space="0"/>
              <w:right w:val="single" w:color="auto" w:sz="4" w:space="0"/>
            </w:tcBorders>
            <w:vAlign w:val="center"/>
          </w:tcPr>
          <w:p w14:paraId="1716E5E8">
            <w:pPr>
              <w:spacing w:line="460" w:lineRule="exact"/>
              <w:jc w:val="center"/>
              <w:rPr>
                <w:rFonts w:hint="eastAsia" w:ascii="方正仿宋_GBK" w:hAnsi="方正仿宋_GBK" w:eastAsia="方正仿宋_GBK" w:cs="方正仿宋_GBK"/>
                <w:color w:val="auto"/>
                <w:sz w:val="24"/>
                <w:szCs w:val="24"/>
                <w:highlight w:val="none"/>
                <w:lang w:eastAsia="zh-CN"/>
              </w:rPr>
            </w:pPr>
            <w:r>
              <w:rPr>
                <w:rFonts w:hint="eastAsia" w:ascii="方正仿宋_GBK" w:hAnsi="方正仿宋_GBK" w:eastAsia="方正仿宋_GBK" w:cs="方正仿宋_GBK"/>
                <w:color w:val="auto"/>
                <w:sz w:val="22"/>
                <w:szCs w:val="22"/>
                <w:highlight w:val="none"/>
              </w:rPr>
              <w:t>法定代表人</w:t>
            </w:r>
            <w:r>
              <w:rPr>
                <w:rFonts w:hint="eastAsia" w:ascii="方正仿宋_GBK" w:hAnsi="方正仿宋_GBK" w:eastAsia="方正仿宋_GBK" w:cs="方正仿宋_GBK"/>
                <w:color w:val="auto"/>
                <w:sz w:val="22"/>
                <w:szCs w:val="22"/>
                <w:highlight w:val="none"/>
                <w:lang w:val="en-US" w:eastAsia="zh-CN"/>
              </w:rPr>
              <w:t>/单位负责人/主要经营负责人</w:t>
            </w:r>
          </w:p>
        </w:tc>
        <w:tc>
          <w:tcPr>
            <w:tcW w:w="947" w:type="dxa"/>
            <w:tcBorders>
              <w:top w:val="single" w:color="auto" w:sz="4" w:space="0"/>
              <w:left w:val="single" w:color="auto" w:sz="4" w:space="0"/>
              <w:bottom w:val="single" w:color="auto" w:sz="4" w:space="0"/>
              <w:right w:val="single" w:color="auto" w:sz="4" w:space="0"/>
            </w:tcBorders>
            <w:vAlign w:val="center"/>
          </w:tcPr>
          <w:p w14:paraId="2682E377">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vAlign w:val="center"/>
          </w:tcPr>
          <w:p w14:paraId="091B8FFA">
            <w:pPr>
              <w:jc w:val="center"/>
              <w:rPr>
                <w:rFonts w:hint="eastAsia" w:ascii="方正仿宋_GBK" w:hAnsi="方正仿宋_GBK" w:eastAsia="方正仿宋_GBK" w:cs="方正仿宋_GBK"/>
                <w:sz w:val="24"/>
                <w:szCs w:val="24"/>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vAlign w:val="center"/>
          </w:tcPr>
          <w:p w14:paraId="4188E4DC">
            <w:pPr>
              <w:jc w:val="center"/>
              <w:rPr>
                <w:rFonts w:hint="eastAsia" w:ascii="方正仿宋_GBK" w:hAnsi="方正仿宋_GBK" w:eastAsia="方正仿宋_GBK" w:cs="方正仿宋_GBK"/>
                <w:sz w:val="24"/>
                <w:szCs w:val="24"/>
                <w:vertAlign w:val="baseline"/>
                <w:lang w:val="en-US" w:eastAsia="zh-CN"/>
              </w:rPr>
            </w:pPr>
          </w:p>
        </w:tc>
        <w:tc>
          <w:tcPr>
            <w:tcW w:w="1352" w:type="dxa"/>
            <w:tcBorders>
              <w:top w:val="single" w:color="auto" w:sz="4" w:space="0"/>
              <w:left w:val="single" w:color="auto" w:sz="4" w:space="0"/>
              <w:bottom w:val="single" w:color="auto" w:sz="4" w:space="0"/>
              <w:right w:val="single" w:color="auto" w:sz="4" w:space="0"/>
            </w:tcBorders>
            <w:vAlign w:val="center"/>
          </w:tcPr>
          <w:p w14:paraId="007A9652">
            <w:pPr>
              <w:jc w:val="center"/>
              <w:rPr>
                <w:rFonts w:hint="eastAsia" w:ascii="方正仿宋_GBK" w:hAnsi="方正仿宋_GBK" w:eastAsia="方正仿宋_GBK" w:cs="方正仿宋_GBK"/>
                <w:sz w:val="24"/>
                <w:szCs w:val="24"/>
                <w:vertAlign w:val="baseline"/>
                <w:lang w:val="en-US" w:eastAsia="zh-CN"/>
              </w:rPr>
            </w:pPr>
          </w:p>
        </w:tc>
      </w:tr>
      <w:tr w14:paraId="368BD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801" w:type="dxa"/>
            <w:tcBorders>
              <w:top w:val="single" w:color="auto" w:sz="4" w:space="0"/>
              <w:left w:val="single" w:color="auto" w:sz="4" w:space="0"/>
              <w:bottom w:val="single" w:color="auto" w:sz="4" w:space="0"/>
              <w:right w:val="single" w:color="auto" w:sz="4" w:space="0"/>
            </w:tcBorders>
            <w:vAlign w:val="center"/>
          </w:tcPr>
          <w:p w14:paraId="403EC87F">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rPr>
              <w:t>2</w:t>
            </w:r>
          </w:p>
        </w:tc>
        <w:tc>
          <w:tcPr>
            <w:tcW w:w="2385" w:type="dxa"/>
            <w:gridSpan w:val="2"/>
            <w:tcBorders>
              <w:top w:val="single" w:color="auto" w:sz="4" w:space="0"/>
              <w:left w:val="single" w:color="auto" w:sz="4" w:space="0"/>
              <w:bottom w:val="single" w:color="auto" w:sz="4" w:space="0"/>
              <w:right w:val="single" w:color="auto" w:sz="4" w:space="0"/>
            </w:tcBorders>
            <w:vAlign w:val="center"/>
          </w:tcPr>
          <w:p w14:paraId="4D82509C">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2"/>
                <w:szCs w:val="22"/>
                <w:highlight w:val="none"/>
              </w:rPr>
              <w:t>项目投标授权代表人</w:t>
            </w:r>
          </w:p>
        </w:tc>
        <w:tc>
          <w:tcPr>
            <w:tcW w:w="947" w:type="dxa"/>
            <w:tcBorders>
              <w:top w:val="single" w:color="auto" w:sz="4" w:space="0"/>
              <w:left w:val="single" w:color="auto" w:sz="4" w:space="0"/>
              <w:bottom w:val="single" w:color="auto" w:sz="4" w:space="0"/>
              <w:right w:val="single" w:color="auto" w:sz="4" w:space="0"/>
            </w:tcBorders>
            <w:vAlign w:val="center"/>
          </w:tcPr>
          <w:p w14:paraId="0B2AC61A">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vAlign w:val="center"/>
          </w:tcPr>
          <w:p w14:paraId="0E110AF6">
            <w:pPr>
              <w:jc w:val="center"/>
              <w:rPr>
                <w:rFonts w:hint="eastAsia" w:ascii="方正仿宋_GBK" w:hAnsi="方正仿宋_GBK" w:eastAsia="方正仿宋_GBK" w:cs="方正仿宋_GBK"/>
                <w:sz w:val="24"/>
                <w:szCs w:val="24"/>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vAlign w:val="center"/>
          </w:tcPr>
          <w:p w14:paraId="5EA75431">
            <w:pPr>
              <w:jc w:val="center"/>
              <w:rPr>
                <w:rFonts w:hint="eastAsia" w:ascii="方正仿宋_GBK" w:hAnsi="方正仿宋_GBK" w:eastAsia="方正仿宋_GBK" w:cs="方正仿宋_GBK"/>
                <w:sz w:val="24"/>
                <w:szCs w:val="24"/>
                <w:vertAlign w:val="baseline"/>
                <w:lang w:val="en-US" w:eastAsia="zh-CN"/>
              </w:rPr>
            </w:pPr>
          </w:p>
        </w:tc>
        <w:tc>
          <w:tcPr>
            <w:tcW w:w="1352" w:type="dxa"/>
            <w:tcBorders>
              <w:top w:val="single" w:color="auto" w:sz="4" w:space="0"/>
              <w:left w:val="single" w:color="auto" w:sz="4" w:space="0"/>
              <w:bottom w:val="single" w:color="auto" w:sz="4" w:space="0"/>
              <w:right w:val="single" w:color="auto" w:sz="4" w:space="0"/>
            </w:tcBorders>
            <w:vAlign w:val="center"/>
          </w:tcPr>
          <w:p w14:paraId="747C922E">
            <w:pPr>
              <w:jc w:val="center"/>
              <w:rPr>
                <w:rFonts w:hint="eastAsia" w:ascii="方正仿宋_GBK" w:hAnsi="方正仿宋_GBK" w:eastAsia="方正仿宋_GBK" w:cs="方正仿宋_GBK"/>
                <w:sz w:val="24"/>
                <w:szCs w:val="24"/>
                <w:vertAlign w:val="baseline"/>
                <w:lang w:val="en-US" w:eastAsia="zh-CN"/>
              </w:rPr>
            </w:pPr>
          </w:p>
        </w:tc>
      </w:tr>
      <w:tr w14:paraId="736F5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dxa"/>
            <w:tcBorders>
              <w:top w:val="single" w:color="auto" w:sz="4" w:space="0"/>
            </w:tcBorders>
            <w:vAlign w:val="center"/>
          </w:tcPr>
          <w:p w14:paraId="31618039">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3</w:t>
            </w:r>
          </w:p>
        </w:tc>
        <w:tc>
          <w:tcPr>
            <w:tcW w:w="2385" w:type="dxa"/>
            <w:gridSpan w:val="2"/>
            <w:tcBorders>
              <w:top w:val="single" w:color="auto" w:sz="4" w:space="0"/>
            </w:tcBorders>
            <w:vAlign w:val="center"/>
          </w:tcPr>
          <w:p w14:paraId="7AE45E67">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4"/>
                <w:szCs w:val="24"/>
                <w:highlight w:val="none"/>
              </w:rPr>
              <w:t>项目负责人</w:t>
            </w:r>
          </w:p>
        </w:tc>
        <w:tc>
          <w:tcPr>
            <w:tcW w:w="947" w:type="dxa"/>
            <w:tcBorders>
              <w:top w:val="single" w:color="auto" w:sz="4" w:space="0"/>
            </w:tcBorders>
            <w:vAlign w:val="center"/>
          </w:tcPr>
          <w:p w14:paraId="264CE73E">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tcBorders>
              <w:top w:val="single" w:color="auto" w:sz="4" w:space="0"/>
            </w:tcBorders>
            <w:vAlign w:val="center"/>
          </w:tcPr>
          <w:p w14:paraId="304F3F48">
            <w:pPr>
              <w:jc w:val="center"/>
              <w:rPr>
                <w:rFonts w:hint="eastAsia" w:ascii="方正仿宋_GBK" w:hAnsi="方正仿宋_GBK" w:eastAsia="方正仿宋_GBK" w:cs="方正仿宋_GBK"/>
                <w:sz w:val="24"/>
                <w:szCs w:val="24"/>
                <w:vertAlign w:val="baseline"/>
                <w:lang w:val="en-US" w:eastAsia="zh-CN"/>
              </w:rPr>
            </w:pPr>
          </w:p>
        </w:tc>
        <w:tc>
          <w:tcPr>
            <w:tcW w:w="1500" w:type="dxa"/>
            <w:tcBorders>
              <w:top w:val="single" w:color="auto" w:sz="4" w:space="0"/>
            </w:tcBorders>
            <w:vAlign w:val="center"/>
          </w:tcPr>
          <w:p w14:paraId="15BE2B1D">
            <w:pPr>
              <w:jc w:val="center"/>
              <w:rPr>
                <w:rFonts w:hint="eastAsia" w:ascii="方正仿宋_GBK" w:hAnsi="方正仿宋_GBK" w:eastAsia="方正仿宋_GBK" w:cs="方正仿宋_GBK"/>
                <w:sz w:val="24"/>
                <w:szCs w:val="24"/>
                <w:vertAlign w:val="baseline"/>
                <w:lang w:val="en-US" w:eastAsia="zh-CN"/>
              </w:rPr>
            </w:pPr>
          </w:p>
        </w:tc>
        <w:tc>
          <w:tcPr>
            <w:tcW w:w="1352" w:type="dxa"/>
            <w:tcBorders>
              <w:top w:val="single" w:color="auto" w:sz="4" w:space="0"/>
            </w:tcBorders>
            <w:vAlign w:val="center"/>
          </w:tcPr>
          <w:p w14:paraId="7EDCDEAB">
            <w:pPr>
              <w:jc w:val="center"/>
              <w:rPr>
                <w:rFonts w:hint="eastAsia" w:ascii="方正仿宋_GBK" w:hAnsi="方正仿宋_GBK" w:eastAsia="方正仿宋_GBK" w:cs="方正仿宋_GBK"/>
                <w:sz w:val="24"/>
                <w:szCs w:val="24"/>
                <w:vertAlign w:val="baseline"/>
                <w:lang w:val="en-US" w:eastAsia="zh-CN"/>
              </w:rPr>
            </w:pPr>
          </w:p>
        </w:tc>
      </w:tr>
      <w:tr w14:paraId="0FFC9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dxa"/>
            <w:vAlign w:val="center"/>
          </w:tcPr>
          <w:p w14:paraId="43EC46AF">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4</w:t>
            </w:r>
          </w:p>
        </w:tc>
        <w:tc>
          <w:tcPr>
            <w:tcW w:w="2385" w:type="dxa"/>
            <w:gridSpan w:val="2"/>
            <w:vAlign w:val="center"/>
          </w:tcPr>
          <w:p w14:paraId="428A7714">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4"/>
                <w:szCs w:val="24"/>
                <w:highlight w:val="none"/>
              </w:rPr>
              <w:t>主要技术人员</w:t>
            </w:r>
          </w:p>
        </w:tc>
        <w:tc>
          <w:tcPr>
            <w:tcW w:w="947" w:type="dxa"/>
            <w:vAlign w:val="center"/>
          </w:tcPr>
          <w:p w14:paraId="6B0F18EB">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vAlign w:val="center"/>
          </w:tcPr>
          <w:p w14:paraId="463EFBEF">
            <w:pPr>
              <w:jc w:val="center"/>
              <w:rPr>
                <w:rFonts w:hint="eastAsia" w:ascii="方正仿宋_GBK" w:hAnsi="方正仿宋_GBK" w:eastAsia="方正仿宋_GBK" w:cs="方正仿宋_GBK"/>
                <w:sz w:val="24"/>
                <w:szCs w:val="24"/>
                <w:vertAlign w:val="baseline"/>
                <w:lang w:val="en-US" w:eastAsia="zh-CN"/>
              </w:rPr>
            </w:pPr>
          </w:p>
        </w:tc>
        <w:tc>
          <w:tcPr>
            <w:tcW w:w="1500" w:type="dxa"/>
            <w:vAlign w:val="center"/>
          </w:tcPr>
          <w:p w14:paraId="614B79F9">
            <w:pPr>
              <w:jc w:val="center"/>
              <w:rPr>
                <w:rFonts w:hint="eastAsia" w:ascii="方正仿宋_GBK" w:hAnsi="方正仿宋_GBK" w:eastAsia="方正仿宋_GBK" w:cs="方正仿宋_GBK"/>
                <w:sz w:val="24"/>
                <w:szCs w:val="24"/>
                <w:vertAlign w:val="baseline"/>
                <w:lang w:val="en-US" w:eastAsia="zh-CN"/>
              </w:rPr>
            </w:pPr>
          </w:p>
        </w:tc>
        <w:tc>
          <w:tcPr>
            <w:tcW w:w="1352" w:type="dxa"/>
            <w:vAlign w:val="center"/>
          </w:tcPr>
          <w:p w14:paraId="2FC2D42C">
            <w:pPr>
              <w:jc w:val="center"/>
              <w:rPr>
                <w:rFonts w:hint="eastAsia" w:ascii="方正仿宋_GBK" w:hAnsi="方正仿宋_GBK" w:eastAsia="方正仿宋_GBK" w:cs="方正仿宋_GBK"/>
                <w:sz w:val="24"/>
                <w:szCs w:val="24"/>
                <w:vertAlign w:val="baseline"/>
                <w:lang w:val="en-US" w:eastAsia="zh-CN"/>
              </w:rPr>
            </w:pPr>
          </w:p>
        </w:tc>
      </w:tr>
      <w:tr w14:paraId="7AF13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dxa"/>
            <w:vAlign w:val="center"/>
          </w:tcPr>
          <w:p w14:paraId="6A697340">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5</w:t>
            </w:r>
          </w:p>
        </w:tc>
        <w:tc>
          <w:tcPr>
            <w:tcW w:w="2385" w:type="dxa"/>
            <w:gridSpan w:val="2"/>
            <w:vAlign w:val="center"/>
          </w:tcPr>
          <w:p w14:paraId="20C52642">
            <w:pPr>
              <w:widowControl w:val="0"/>
              <w:snapToGrid w:val="0"/>
              <w:ind w:left="0" w:leftChars="0" w:firstLine="0" w:firstLineChars="0"/>
              <w:jc w:val="center"/>
              <w:rPr>
                <w:rFonts w:hint="eastAsia" w:ascii="方正仿宋_GBK" w:hAnsi="方正仿宋_GBK" w:eastAsia="方正仿宋_GBK" w:cs="方正仿宋_GBK"/>
                <w:kern w:val="2"/>
                <w:sz w:val="24"/>
                <w:szCs w:val="24"/>
                <w:lang w:val="en-US" w:eastAsia="zh-CN" w:bidi="ar-SA"/>
              </w:rPr>
            </w:pPr>
            <w:r>
              <w:rPr>
                <w:rFonts w:hint="eastAsia" w:ascii="方正仿宋_GBK" w:hAnsi="方正仿宋_GBK" w:eastAsia="方正仿宋_GBK" w:cs="方正仿宋_GBK"/>
                <w:color w:val="auto"/>
                <w:kern w:val="2"/>
                <w:sz w:val="24"/>
                <w:szCs w:val="24"/>
                <w:highlight w:val="none"/>
                <w:lang w:val="en-US" w:eastAsia="zh-CN" w:bidi="ar-SA"/>
              </w:rPr>
              <w:t>投标文件编制人员</w:t>
            </w:r>
          </w:p>
        </w:tc>
        <w:tc>
          <w:tcPr>
            <w:tcW w:w="947" w:type="dxa"/>
            <w:vAlign w:val="center"/>
          </w:tcPr>
          <w:p w14:paraId="2D95209F">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vAlign w:val="center"/>
          </w:tcPr>
          <w:p w14:paraId="1AEABE9E">
            <w:pPr>
              <w:jc w:val="center"/>
              <w:rPr>
                <w:rFonts w:hint="eastAsia" w:ascii="方正仿宋_GBK" w:hAnsi="方正仿宋_GBK" w:eastAsia="方正仿宋_GBK" w:cs="方正仿宋_GBK"/>
                <w:sz w:val="24"/>
                <w:szCs w:val="24"/>
                <w:vertAlign w:val="baseline"/>
                <w:lang w:val="en-US" w:eastAsia="zh-CN"/>
              </w:rPr>
            </w:pPr>
          </w:p>
        </w:tc>
        <w:tc>
          <w:tcPr>
            <w:tcW w:w="1500" w:type="dxa"/>
            <w:vAlign w:val="center"/>
          </w:tcPr>
          <w:p w14:paraId="15007610">
            <w:pPr>
              <w:jc w:val="center"/>
              <w:rPr>
                <w:rFonts w:hint="eastAsia" w:ascii="方正仿宋_GBK" w:hAnsi="方正仿宋_GBK" w:eastAsia="方正仿宋_GBK" w:cs="方正仿宋_GBK"/>
                <w:sz w:val="24"/>
                <w:szCs w:val="24"/>
                <w:vertAlign w:val="baseline"/>
                <w:lang w:val="en-US" w:eastAsia="zh-CN"/>
              </w:rPr>
            </w:pPr>
          </w:p>
        </w:tc>
        <w:tc>
          <w:tcPr>
            <w:tcW w:w="1352" w:type="dxa"/>
            <w:vAlign w:val="center"/>
          </w:tcPr>
          <w:p w14:paraId="005DBA6F">
            <w:pPr>
              <w:jc w:val="center"/>
              <w:rPr>
                <w:rFonts w:hint="eastAsia" w:ascii="方正仿宋_GBK" w:hAnsi="方正仿宋_GBK" w:eastAsia="方正仿宋_GBK" w:cs="方正仿宋_GBK"/>
                <w:sz w:val="24"/>
                <w:szCs w:val="24"/>
                <w:vertAlign w:val="baseline"/>
                <w:lang w:val="en-US" w:eastAsia="zh-CN"/>
              </w:rPr>
            </w:pPr>
          </w:p>
        </w:tc>
      </w:tr>
      <w:tr w14:paraId="000C4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76" w:type="dxa"/>
            <w:gridSpan w:val="8"/>
            <w:vAlign w:val="center"/>
          </w:tcPr>
          <w:p w14:paraId="1C6ACD8A">
            <w:pPr>
              <w:jc w:val="left"/>
              <w:rPr>
                <w:rFonts w:hint="eastAsia" w:ascii="方正仿宋_GBK" w:hAnsi="方正仿宋_GBK" w:eastAsia="方正仿宋_GBK" w:cs="方正仿宋_GBK"/>
                <w:sz w:val="18"/>
                <w:szCs w:val="18"/>
                <w:vertAlign w:val="baseline"/>
                <w:lang w:val="en-US" w:eastAsia="zh-CN"/>
              </w:rPr>
            </w:pPr>
            <w:r>
              <w:rPr>
                <w:rFonts w:hint="eastAsia" w:ascii="方正仿宋_GBK" w:hAnsi="方正仿宋_GBK" w:eastAsia="方正仿宋_GBK" w:cs="方正仿宋_GBK"/>
                <w:b/>
                <w:bCs/>
                <w:color w:val="auto"/>
                <w:sz w:val="18"/>
                <w:szCs w:val="18"/>
                <w:highlight w:val="none"/>
                <w:vertAlign w:val="baseline"/>
                <w:lang w:val="en-US" w:eastAsia="zh-CN"/>
              </w:rPr>
              <w:t>说明：同一职务有多人担任（如主要技术人员），应分行填写。</w:t>
            </w:r>
          </w:p>
        </w:tc>
      </w:tr>
      <w:tr w14:paraId="73653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8976" w:type="dxa"/>
            <w:gridSpan w:val="8"/>
            <w:vAlign w:val="center"/>
          </w:tcPr>
          <w:p w14:paraId="307D8C97">
            <w:pPr>
              <w:jc w:val="center"/>
              <w:rPr>
                <w:rFonts w:hint="eastAsia" w:ascii="方正仿宋_GBK" w:hAnsi="方正仿宋_GBK" w:eastAsia="方正仿宋_GBK" w:cs="方正仿宋_GBK"/>
                <w:b/>
                <w:bCs/>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投标（响应）供应商关联关系情况</w:t>
            </w:r>
          </w:p>
        </w:tc>
      </w:tr>
      <w:tr w14:paraId="429AF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01" w:type="dxa"/>
            <w:tcBorders>
              <w:bottom w:val="single" w:color="auto" w:sz="4" w:space="0"/>
            </w:tcBorders>
            <w:vAlign w:val="center"/>
          </w:tcPr>
          <w:p w14:paraId="051871CE">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序号</w:t>
            </w:r>
          </w:p>
        </w:tc>
        <w:tc>
          <w:tcPr>
            <w:tcW w:w="2385" w:type="dxa"/>
            <w:gridSpan w:val="2"/>
            <w:tcBorders>
              <w:bottom w:val="single" w:color="auto" w:sz="4" w:space="0"/>
            </w:tcBorders>
            <w:vAlign w:val="center"/>
          </w:tcPr>
          <w:p w14:paraId="39EAD862">
            <w:pPr>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关联关系类型</w:t>
            </w:r>
          </w:p>
        </w:tc>
        <w:tc>
          <w:tcPr>
            <w:tcW w:w="1702" w:type="dxa"/>
            <w:gridSpan w:val="2"/>
            <w:tcBorders>
              <w:bottom w:val="single" w:color="auto" w:sz="4" w:space="0"/>
            </w:tcBorders>
            <w:vAlign w:val="center"/>
          </w:tcPr>
          <w:p w14:paraId="468CC566">
            <w:pPr>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关联主体名称</w:t>
            </w:r>
          </w:p>
        </w:tc>
        <w:tc>
          <w:tcPr>
            <w:tcW w:w="4088" w:type="dxa"/>
            <w:gridSpan w:val="3"/>
            <w:tcBorders>
              <w:bottom w:val="single" w:color="auto" w:sz="4" w:space="0"/>
            </w:tcBorders>
            <w:vAlign w:val="center"/>
          </w:tcPr>
          <w:p w14:paraId="1654B94C">
            <w:pPr>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备注</w:t>
            </w:r>
          </w:p>
        </w:tc>
      </w:tr>
      <w:tr w14:paraId="139FC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dxa"/>
            <w:tcBorders>
              <w:top w:val="single" w:color="auto" w:sz="4" w:space="0"/>
              <w:left w:val="single" w:color="auto" w:sz="4" w:space="0"/>
              <w:bottom w:val="single" w:color="auto" w:sz="4" w:space="0"/>
              <w:right w:val="single" w:color="auto" w:sz="4" w:space="0"/>
            </w:tcBorders>
            <w:vAlign w:val="center"/>
          </w:tcPr>
          <w:p w14:paraId="675A5ABF">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1</w:t>
            </w:r>
          </w:p>
        </w:tc>
        <w:tc>
          <w:tcPr>
            <w:tcW w:w="2385" w:type="dxa"/>
            <w:gridSpan w:val="2"/>
            <w:tcBorders>
              <w:top w:val="single" w:color="auto" w:sz="4" w:space="0"/>
              <w:left w:val="single" w:color="auto" w:sz="4" w:space="0"/>
              <w:bottom w:val="single" w:color="auto" w:sz="4" w:space="0"/>
              <w:right w:val="single" w:color="auto" w:sz="4" w:space="0"/>
            </w:tcBorders>
            <w:vAlign w:val="center"/>
          </w:tcPr>
          <w:p w14:paraId="4FBFB0CA">
            <w:pPr>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控股股东</w:t>
            </w:r>
          </w:p>
        </w:tc>
        <w:tc>
          <w:tcPr>
            <w:tcW w:w="1702" w:type="dxa"/>
            <w:gridSpan w:val="2"/>
            <w:tcBorders>
              <w:top w:val="single" w:color="auto" w:sz="4" w:space="0"/>
              <w:left w:val="single" w:color="auto" w:sz="4" w:space="0"/>
              <w:bottom w:val="single" w:color="auto" w:sz="4" w:space="0"/>
              <w:right w:val="single" w:color="auto" w:sz="4" w:space="0"/>
            </w:tcBorders>
            <w:vAlign w:val="center"/>
          </w:tcPr>
          <w:p w14:paraId="0E3879B9">
            <w:pPr>
              <w:jc w:val="center"/>
              <w:rPr>
                <w:rFonts w:hint="eastAsia" w:ascii="方正仿宋_GBK" w:hAnsi="方正仿宋_GBK" w:eastAsia="方正仿宋_GBK" w:cs="方正仿宋_GBK"/>
                <w:color w:val="auto"/>
                <w:sz w:val="24"/>
                <w:szCs w:val="24"/>
                <w:highlight w:val="none"/>
                <w:vertAlign w:val="baseline"/>
                <w:lang w:val="en-US" w:eastAsia="zh-CN"/>
              </w:rPr>
            </w:pPr>
          </w:p>
        </w:tc>
        <w:tc>
          <w:tcPr>
            <w:tcW w:w="4088" w:type="dxa"/>
            <w:gridSpan w:val="3"/>
            <w:tcBorders>
              <w:top w:val="single" w:color="auto" w:sz="4" w:space="0"/>
              <w:left w:val="single" w:color="auto" w:sz="4" w:space="0"/>
              <w:bottom w:val="single" w:color="auto" w:sz="4" w:space="0"/>
              <w:right w:val="single" w:color="auto" w:sz="4" w:space="0"/>
            </w:tcBorders>
            <w:vAlign w:val="center"/>
          </w:tcPr>
          <w:p w14:paraId="2C6091A3">
            <w:pPr>
              <w:snapToGrid w:val="0"/>
              <w:jc w:val="left"/>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18"/>
                <w:szCs w:val="18"/>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3A1E7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dxa"/>
            <w:tcBorders>
              <w:top w:val="single" w:color="auto" w:sz="4" w:space="0"/>
              <w:left w:val="single" w:color="auto" w:sz="4" w:space="0"/>
              <w:bottom w:val="single" w:color="auto" w:sz="4" w:space="0"/>
              <w:right w:val="single" w:color="auto" w:sz="4" w:space="0"/>
            </w:tcBorders>
            <w:vAlign w:val="center"/>
          </w:tcPr>
          <w:p w14:paraId="658C65A5">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2</w:t>
            </w:r>
          </w:p>
        </w:tc>
        <w:tc>
          <w:tcPr>
            <w:tcW w:w="2385" w:type="dxa"/>
            <w:gridSpan w:val="2"/>
            <w:tcBorders>
              <w:top w:val="single" w:color="auto" w:sz="4" w:space="0"/>
              <w:left w:val="single" w:color="auto" w:sz="4" w:space="0"/>
              <w:bottom w:val="single" w:color="auto" w:sz="4" w:space="0"/>
              <w:right w:val="single" w:color="auto" w:sz="4" w:space="0"/>
            </w:tcBorders>
            <w:vAlign w:val="center"/>
          </w:tcPr>
          <w:p w14:paraId="51D15C19">
            <w:pPr>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管理关系</w:t>
            </w:r>
          </w:p>
        </w:tc>
        <w:tc>
          <w:tcPr>
            <w:tcW w:w="1702" w:type="dxa"/>
            <w:gridSpan w:val="2"/>
            <w:tcBorders>
              <w:top w:val="single" w:color="auto" w:sz="4" w:space="0"/>
              <w:left w:val="single" w:color="auto" w:sz="4" w:space="0"/>
              <w:bottom w:val="single" w:color="auto" w:sz="4" w:space="0"/>
              <w:right w:val="single" w:color="auto" w:sz="4" w:space="0"/>
            </w:tcBorders>
            <w:vAlign w:val="center"/>
          </w:tcPr>
          <w:p w14:paraId="4DEC1D3F">
            <w:pPr>
              <w:jc w:val="center"/>
              <w:rPr>
                <w:rFonts w:hint="eastAsia" w:ascii="方正仿宋_GBK" w:hAnsi="方正仿宋_GBK" w:eastAsia="方正仿宋_GBK" w:cs="方正仿宋_GBK"/>
                <w:color w:val="auto"/>
                <w:sz w:val="24"/>
                <w:szCs w:val="24"/>
                <w:highlight w:val="none"/>
                <w:vertAlign w:val="baseline"/>
                <w:lang w:val="en-US" w:eastAsia="zh-CN"/>
              </w:rPr>
            </w:pPr>
          </w:p>
        </w:tc>
        <w:tc>
          <w:tcPr>
            <w:tcW w:w="4088" w:type="dxa"/>
            <w:gridSpan w:val="3"/>
            <w:tcBorders>
              <w:top w:val="single" w:color="auto" w:sz="4" w:space="0"/>
              <w:left w:val="single" w:color="auto" w:sz="4" w:space="0"/>
              <w:bottom w:val="single" w:color="auto" w:sz="4" w:space="0"/>
              <w:right w:val="single" w:color="auto" w:sz="4" w:space="0"/>
            </w:tcBorders>
            <w:vAlign w:val="center"/>
          </w:tcPr>
          <w:p w14:paraId="4E5AC707">
            <w:pPr>
              <w:snapToGrid w:val="0"/>
              <w:jc w:val="left"/>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18"/>
                <w:szCs w:val="18"/>
                <w:highlight w:val="none"/>
                <w:vertAlign w:val="baseline"/>
                <w:lang w:val="en-US" w:eastAsia="zh-CN"/>
              </w:rPr>
              <w:t>指对投标（响应）供应商不具有出资持股关系，但对其存在管理关系的主体。</w:t>
            </w:r>
          </w:p>
        </w:tc>
      </w:tr>
      <w:tr w14:paraId="2F097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76" w:type="dxa"/>
            <w:gridSpan w:val="8"/>
            <w:tcBorders>
              <w:top w:val="single" w:color="auto" w:sz="4" w:space="0"/>
              <w:left w:val="single" w:color="auto" w:sz="4" w:space="0"/>
              <w:bottom w:val="single" w:color="auto" w:sz="4" w:space="0"/>
              <w:right w:val="single" w:color="auto" w:sz="4" w:space="0"/>
            </w:tcBorders>
            <w:vAlign w:val="center"/>
          </w:tcPr>
          <w:p w14:paraId="7B3A8117">
            <w:pPr>
              <w:snapToGrid w:val="0"/>
              <w:jc w:val="left"/>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b/>
                <w:bCs/>
                <w:color w:val="auto"/>
                <w:sz w:val="18"/>
                <w:szCs w:val="18"/>
                <w:highlight w:val="none"/>
                <w:vertAlign w:val="baseline"/>
                <w:lang w:val="en-US" w:eastAsia="zh-CN"/>
              </w:rPr>
              <w:t>说明：同一关联关系类型有多个主体的，应分行填写。</w:t>
            </w:r>
          </w:p>
        </w:tc>
      </w:tr>
    </w:tbl>
    <w:p w14:paraId="4E54288B">
      <w:pPr>
        <w:widowControl/>
        <w:numPr>
          <w:ilvl w:val="-1"/>
          <w:numId w:val="0"/>
        </w:numPr>
        <w:autoSpaceDE/>
        <w:autoSpaceDN/>
        <w:adjustRightInd/>
        <w:spacing w:line="579" w:lineRule="exact"/>
        <w:ind w:firstLine="0" w:firstLineChars="0"/>
        <w:jc w:val="both"/>
        <w:rPr>
          <w:rFonts w:hint="eastAsia" w:ascii="仿宋_GB2312" w:hAnsi="仿宋_GB2312" w:eastAsia="仿宋_GB2312" w:cs="仿宋_GB2312"/>
          <w:b w:val="0"/>
          <w:bCs w:val="0"/>
          <w:kern w:val="2"/>
          <w:sz w:val="32"/>
          <w:szCs w:val="32"/>
          <w:lang w:eastAsia="zh-CN"/>
        </w:rPr>
      </w:pPr>
    </w:p>
    <w:p w14:paraId="0FCCD2F6">
      <w:pPr>
        <w:autoSpaceDE w:val="0"/>
        <w:autoSpaceDN w:val="0"/>
        <w:adjustRightInd w:val="0"/>
        <w:spacing w:line="579" w:lineRule="exact"/>
        <w:jc w:val="center"/>
        <w:rPr>
          <w:rFonts w:hint="eastAsia" w:ascii="方正小标宋_GBK" w:hAnsi="方正小标宋_GBK" w:eastAsia="方正小标宋_GBK" w:cs="方正小标宋_GBK"/>
          <w:b w:val="0"/>
          <w:bCs w:val="0"/>
          <w:kern w:val="0"/>
          <w:sz w:val="44"/>
          <w:szCs w:val="44"/>
          <w:lang w:eastAsia="zh-CN"/>
        </w:rPr>
      </w:pPr>
    </w:p>
    <w:p w14:paraId="694590A5">
      <w:pPr>
        <w:autoSpaceDE w:val="0"/>
        <w:autoSpaceDN w:val="0"/>
        <w:adjustRightInd w:val="0"/>
        <w:spacing w:line="579" w:lineRule="exact"/>
        <w:jc w:val="center"/>
        <w:rPr>
          <w:rFonts w:hint="eastAsia" w:ascii="方正小标宋_GBK" w:hAnsi="方正小标宋_GBK" w:eastAsia="方正小标宋_GBK" w:cs="方正小标宋_GBK"/>
          <w:b w:val="0"/>
          <w:bCs w:val="0"/>
          <w:kern w:val="0"/>
          <w:sz w:val="44"/>
          <w:szCs w:val="44"/>
          <w:lang w:eastAsia="zh-CN"/>
        </w:rPr>
      </w:pPr>
    </w:p>
    <w:p w14:paraId="2E5C4AF3">
      <w:pPr>
        <w:keepNext w:val="0"/>
        <w:keepLines w:val="0"/>
        <w:pageBreakBefore w:val="0"/>
        <w:kinsoku/>
        <w:wordWrap w:val="0"/>
        <w:overflowPunct/>
        <w:topLinePunct w:val="0"/>
        <w:autoSpaceDE/>
        <w:autoSpaceDN/>
        <w:bidi w:val="0"/>
        <w:adjustRightInd/>
        <w:snapToGrid/>
        <w:spacing w:beforeLines="0" w:afterLines="0" w:line="579" w:lineRule="exact"/>
        <w:ind w:firstLine="0" w:firstLineChars="0"/>
        <w:jc w:val="both"/>
        <w:textAlignment w:val="auto"/>
        <w:outlineLvl w:val="0"/>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rPr>
        <w:t>附件</w:t>
      </w:r>
      <w:r>
        <w:rPr>
          <w:rFonts w:hint="eastAsia" w:ascii="黑体" w:hAnsi="黑体" w:eastAsia="黑体" w:cs="黑体"/>
          <w:bCs/>
          <w:sz w:val="32"/>
          <w:szCs w:val="32"/>
          <w:highlight w:val="none"/>
          <w:lang w:val="en-US" w:eastAsia="zh-CN"/>
        </w:rPr>
        <w:t>2</w:t>
      </w:r>
    </w:p>
    <w:p w14:paraId="46BCF211">
      <w:pPr>
        <w:keepNext w:val="0"/>
        <w:keepLines w:val="0"/>
        <w:pageBreakBefore w:val="0"/>
        <w:widowControl/>
        <w:kinsoku/>
        <w:wordWrap/>
        <w:overflowPunct/>
        <w:topLinePunct w:val="0"/>
        <w:autoSpaceDE/>
        <w:autoSpaceDN/>
        <w:bidi w:val="0"/>
        <w:adjustRightInd/>
        <w:snapToGrid/>
        <w:spacing w:beforeLines="0" w:afterLines="0" w:line="579" w:lineRule="exact"/>
        <w:ind w:firstLine="0" w:firstLineChars="0"/>
        <w:jc w:val="center"/>
        <w:textAlignment w:val="auto"/>
        <w:outlineLvl w:val="0"/>
        <w:rPr>
          <w:rFonts w:hint="eastAsia" w:ascii="方正小标宋_GBK" w:hAnsi="方正小标宋_GBK" w:eastAsia="方正小标宋_GBK" w:cs="方正小标宋_GBK"/>
          <w:b w:val="0"/>
          <w:bCs w:val="0"/>
          <w:spacing w:val="-2"/>
          <w:sz w:val="44"/>
          <w:szCs w:val="44"/>
          <w:highlight w:val="none"/>
          <w:lang w:val="en-US" w:eastAsia="zh-CN"/>
        </w:rPr>
      </w:pPr>
      <w:r>
        <w:rPr>
          <w:rFonts w:hint="eastAsia" w:ascii="方正小标宋_GBK" w:hAnsi="方正小标宋_GBK" w:eastAsia="方正小标宋_GBK" w:cs="方正小标宋_GBK"/>
          <w:b w:val="0"/>
          <w:bCs w:val="0"/>
          <w:spacing w:val="-2"/>
          <w:sz w:val="44"/>
          <w:szCs w:val="44"/>
          <w:highlight w:val="none"/>
          <w:lang w:val="en-US" w:eastAsia="zh-CN"/>
        </w:rPr>
        <w:t>政府采购违法行为风险知悉确认书</w:t>
      </w:r>
    </w:p>
    <w:p w14:paraId="5D1B05C2">
      <w:pPr>
        <w:keepNext w:val="0"/>
        <w:keepLines w:val="0"/>
        <w:pageBreakBefore w:val="0"/>
        <w:widowControl w:val="0"/>
        <w:kinsoku/>
        <w:overflowPunct/>
        <w:topLinePunct w:val="0"/>
        <w:autoSpaceDE/>
        <w:autoSpaceDN/>
        <w:bidi w:val="0"/>
        <w:adjustRightInd/>
        <w:snapToGrid/>
        <w:spacing w:line="579" w:lineRule="exact"/>
        <w:ind w:firstLine="320" w:firstLineChars="100"/>
        <w:jc w:val="center"/>
        <w:textAlignment w:val="auto"/>
        <w:rPr>
          <w:rFonts w:hint="eastAsia" w:ascii="黑体" w:hAnsi="黑体" w:eastAsia="黑体" w:cs="黑体"/>
          <w:kern w:val="2"/>
          <w:sz w:val="32"/>
          <w:szCs w:val="32"/>
          <w:lang w:val="en-US" w:eastAsia="zh-CN" w:bidi="ar-SA"/>
        </w:rPr>
      </w:pPr>
    </w:p>
    <w:p w14:paraId="47174AA6">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b w:val="0"/>
          <w:bCs w:val="0"/>
          <w:kern w:val="0"/>
          <w:sz w:val="32"/>
          <w:szCs w:val="32"/>
          <w:lang w:eastAsia="zh-CN"/>
        </w:rPr>
      </w:pPr>
      <w:r>
        <w:rPr>
          <w:rFonts w:hint="eastAsia" w:ascii="仿宋_GB2312" w:hAnsi="仿宋_GB2312" w:eastAsia="仿宋_GB2312" w:cs="仿宋_GB2312"/>
          <w:b w:val="0"/>
          <w:bCs w:val="0"/>
          <w:sz w:val="32"/>
          <w:szCs w:val="32"/>
          <w:lang w:val="en-US" w:eastAsia="zh-CN"/>
        </w:rPr>
        <w:t>本公司在投标前已充分知悉以下情形为参与政府采购活动时的重大风险事项，并承诺已对下述风险提示事项重点排查，做到严谨、诚信、依法依规参与政府采购活动。</w:t>
      </w:r>
    </w:p>
    <w:p w14:paraId="1C1081E0">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b w:val="0"/>
          <w:bCs w:val="0"/>
          <w:sz w:val="32"/>
          <w:szCs w:val="32"/>
          <w:lang w:val="en-US" w:eastAsia="zh-CN"/>
        </w:rPr>
        <w:t>一、本公司已充分知悉“隐瞒真实情况，提供虚假</w:t>
      </w:r>
      <w:r>
        <w:rPr>
          <w:rFonts w:hint="eastAsia" w:ascii="黑体" w:hAnsi="黑体" w:eastAsia="黑体" w:cs="黑体"/>
          <w:b w:val="0"/>
          <w:bCs w:val="0"/>
          <w:sz w:val="32"/>
          <w:szCs w:val="32"/>
          <w:highlight w:val="none"/>
          <w:lang w:val="en-US" w:eastAsia="zh-CN"/>
        </w:rPr>
        <w:t>资料</w:t>
      </w:r>
      <w:r>
        <w:rPr>
          <w:rFonts w:hint="eastAsia" w:ascii="黑体" w:hAnsi="黑体" w:eastAsia="黑体" w:cs="黑体"/>
          <w:b w:val="0"/>
          <w:bCs w:val="0"/>
          <w:sz w:val="32"/>
          <w:szCs w:val="32"/>
          <w:lang w:val="en-US" w:eastAsia="zh-CN"/>
        </w:rPr>
        <w:t>”的法定情形，相关情形包括但不限于</w:t>
      </w:r>
    </w:p>
    <w:p w14:paraId="05FEA1F6">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（一）通过转让或者租借等方式从其他单位获取资格或者资质证书投标的。</w:t>
      </w:r>
    </w:p>
    <w:p w14:paraId="0BFDCF47">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（二）由其他单位或者其他单位负责人在投标供应商编制的投标文件上加盖印章或者签字的。</w:t>
      </w:r>
    </w:p>
    <w:p w14:paraId="56B764BA">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（三）项目负责人或者主要技术人员不是本单位人员的。</w:t>
      </w:r>
    </w:p>
    <w:p w14:paraId="29A05D2F">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（四）投标保证金不是从投标供应商基本账户转出的。</w:t>
      </w:r>
    </w:p>
    <w:p w14:paraId="5EECACA2">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（五）其他隐瞒真实情况、提供虚假资料的行为。</w:t>
      </w:r>
    </w:p>
    <w:p w14:paraId="6BED733B">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b w:val="0"/>
          <w:bCs w:val="0"/>
          <w:sz w:val="32"/>
          <w:szCs w:val="32"/>
          <w:lang w:val="en-US" w:eastAsia="zh-CN"/>
        </w:rPr>
        <w:t>二、本公司已充分知悉“与其他采购参加人串通投标”的法定情形，相关情形包括但不限于</w:t>
      </w:r>
    </w:p>
    <w:p w14:paraId="17408157">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（一）投标供应商之间相互约定给予未中标的供应商利益补偿。 </w:t>
      </w:r>
    </w:p>
    <w:p w14:paraId="58F0514D">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（二）不同投标供应商的法定代表人、主要经营负责人、项目投标授权代表人、项目负责人、主要技术人员为同一人、属同一单位或者在同一单位缴纳社会保险。</w:t>
      </w:r>
    </w:p>
    <w:p w14:paraId="2FFFF216">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（三）不同投标供应商的投标文件由同一单位或者同一人编制，或者由同一人分阶段参与编制的。</w:t>
      </w:r>
    </w:p>
    <w:p w14:paraId="583F12B0">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（四）不同投标供应商的投标文件或部分投标文件相互混装。</w:t>
      </w:r>
    </w:p>
    <w:p w14:paraId="10C8F6C6">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（五）不同投标供应商的投标文件内容存在非正常一致。</w:t>
      </w:r>
    </w:p>
    <w:p w14:paraId="2471D65C">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（六）由同一单位工作人员为两家以上（含两家）供应商进行同一项投标活动的。</w:t>
      </w:r>
    </w:p>
    <w:p w14:paraId="308F9E7D">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b w:val="0"/>
          <w:bCs w:val="0"/>
          <w:sz w:val="32"/>
          <w:szCs w:val="32"/>
          <w:u w:val="none"/>
          <w:lang w:val="en-US" w:eastAsia="zh-CN"/>
        </w:rPr>
        <w:t>不同投标人的投标报价呈规律性差异。</w:t>
      </w:r>
    </w:p>
    <w:p w14:paraId="28F138F5">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w:t>
      </w:r>
      <w:r>
        <w:rPr>
          <w:rFonts w:hint="eastAsia" w:ascii="仿宋_GB2312" w:hAnsi="仿宋_GB2312" w:eastAsia="仿宋_GB2312" w:cs="仿宋_GB2312"/>
          <w:b w:val="0"/>
          <w:bCs w:val="0"/>
          <w:sz w:val="32"/>
          <w:szCs w:val="32"/>
          <w:u w:val="none"/>
          <w:lang w:val="en-US" w:eastAsia="zh-CN"/>
        </w:rPr>
        <w:t>不同投标人的投标保证金从同一单位或者个人的账户转出。</w:t>
      </w:r>
    </w:p>
    <w:p w14:paraId="285AEB9F">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（九）主管部门依照法律、法规认定的其他情形。</w:t>
      </w:r>
    </w:p>
    <w:p w14:paraId="42BD5A81">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b/>
          <w:bCs/>
          <w:sz w:val="32"/>
          <w:szCs w:val="32"/>
          <w:highlight w:val="none"/>
          <w:lang w:val="en-US" w:eastAsia="zh-CN"/>
        </w:rPr>
      </w:pPr>
      <w:r>
        <w:rPr>
          <w:rFonts w:hint="eastAsia" w:ascii="黑体" w:hAnsi="黑体" w:eastAsia="黑体" w:cs="黑体"/>
          <w:b w:val="0"/>
          <w:bCs w:val="0"/>
          <w:sz w:val="32"/>
          <w:szCs w:val="32"/>
          <w:highlight w:val="none"/>
          <w:lang w:val="en-US" w:eastAsia="zh-CN"/>
        </w:rPr>
        <w:t>三、本公司已充分知悉下列情形所对应的法律风险，并在投标前已对相关风险事项进行排查</w:t>
      </w:r>
    </w:p>
    <w:p w14:paraId="44A957AE">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sz w:val="32"/>
          <w:szCs w:val="32"/>
          <w:lang w:val="en-US" w:eastAsia="zh-CN"/>
        </w:rPr>
        <w:t>（一）对于</w:t>
      </w:r>
      <w:r>
        <w:rPr>
          <w:rFonts w:hint="eastAsia" w:ascii="仿宋_GB2312" w:hAnsi="Times New Roman" w:eastAsia="仿宋_GB2312" w:cs="Times New Roman"/>
          <w:sz w:val="32"/>
          <w:szCs w:val="32"/>
          <w:lang w:eastAsia="zh-CN"/>
        </w:rPr>
        <w:t>从</w:t>
      </w:r>
      <w:r>
        <w:rPr>
          <w:rFonts w:hint="eastAsia" w:ascii="仿宋_GB2312" w:hAnsi="仿宋_GB2312" w:eastAsia="仿宋_GB2312" w:cs="仿宋_GB2312"/>
          <w:sz w:val="32"/>
          <w:szCs w:val="32"/>
          <w:lang w:val="en-US" w:eastAsia="zh-CN"/>
        </w:rPr>
        <w:t>其他主体</w:t>
      </w:r>
      <w:r>
        <w:rPr>
          <w:rFonts w:hint="eastAsia" w:ascii="仿宋_GB2312" w:hAnsi="Times New Roman" w:eastAsia="仿宋_GB2312" w:cs="Times New Roman"/>
          <w:sz w:val="32"/>
          <w:szCs w:val="32"/>
          <w:lang w:eastAsia="zh-CN"/>
        </w:rPr>
        <w:t>获取</w:t>
      </w:r>
      <w:r>
        <w:rPr>
          <w:rFonts w:hint="eastAsia" w:ascii="仿宋_GB2312" w:hAnsi="仿宋_GB2312" w:eastAsia="仿宋_GB2312" w:cs="仿宋_GB2312"/>
          <w:sz w:val="32"/>
          <w:szCs w:val="32"/>
          <w:lang w:val="en-US" w:eastAsia="zh-CN"/>
        </w:rPr>
        <w:t>的投标资料，供应商应审慎核查，确保投标资料的真实性。</w:t>
      </w:r>
      <w:r>
        <w:rPr>
          <w:rFonts w:hint="eastAsia" w:ascii="仿宋_GB2312" w:hAnsi="仿宋_GB2312" w:eastAsia="仿宋_GB2312" w:cs="仿宋_GB2312"/>
          <w:b/>
          <w:bCs/>
          <w:sz w:val="32"/>
          <w:szCs w:val="32"/>
          <w:lang w:val="en-US" w:eastAsia="zh-CN"/>
        </w:rPr>
        <w:t>如主管部门查实投标文件中存在虚假资料的，无论相关资料是否由第三方或本公司员工提供，均不影响主管部门对供应商存在“隐瞒真实情况，提供虚假资料”违法行为的认定。</w:t>
      </w:r>
    </w:p>
    <w:p w14:paraId="6CDA4D7A">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（二）对于涉及国家机关出具的公文、证件、证明材料等文件，一旦涉嫌虚假，经查实，主管部门将依法从严处理，并移送有关部门追究法律责任；涉嫌犯罪的，主管部门将一并移送司法机关追究法律责任。</w:t>
      </w:r>
    </w:p>
    <w:p w14:paraId="700CC52E">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（三）对于涉及安全生产、特种作业、抢险救灾、防疫等政府采购项目，供应商实施提供虚假资料、串通投标等违法行为的，主管部门将依法从严处理。 </w:t>
      </w:r>
    </w:p>
    <w:p w14:paraId="7B45F7D9">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（四）供应商应严格规范项目授权代表、员工参与招标投标的行为，加强对投标文件的审核。项目授权代表、员工</w:t>
      </w:r>
      <w:r>
        <w:rPr>
          <w:rFonts w:hint="eastAsia" w:ascii="仿宋_GB2312" w:hAnsi="Times New Roman" w:eastAsia="仿宋_GB2312" w:cs="Times New Roman"/>
          <w:sz w:val="32"/>
          <w:szCs w:val="32"/>
          <w:lang w:eastAsia="zh-CN"/>
        </w:rPr>
        <w:t>编制、上传</w:t>
      </w:r>
      <w:r>
        <w:rPr>
          <w:rFonts w:hint="eastAsia" w:ascii="仿宋_GB2312" w:hAnsi="仿宋_GB2312" w:eastAsia="仿宋_GB2312" w:cs="仿宋_GB2312"/>
          <w:sz w:val="32"/>
          <w:szCs w:val="32"/>
          <w:lang w:val="en-US" w:eastAsia="zh-CN"/>
        </w:rPr>
        <w:t>投标文件</w:t>
      </w:r>
      <w:r>
        <w:rPr>
          <w:rFonts w:hint="eastAsia" w:ascii="仿宋_GB2312" w:hAnsi="Times New Roman" w:eastAsia="仿宋_GB2312" w:cs="Times New Roman"/>
          <w:sz w:val="32"/>
          <w:szCs w:val="32"/>
          <w:lang w:eastAsia="zh-CN"/>
        </w:rPr>
        <w:t>等行为</w:t>
      </w:r>
      <w:r>
        <w:rPr>
          <w:rFonts w:hint="eastAsia" w:ascii="仿宋_GB2312" w:hAnsi="仿宋_GB2312" w:eastAsia="仿宋_GB2312" w:cs="仿宋_GB2312"/>
          <w:sz w:val="32"/>
          <w:szCs w:val="32"/>
          <w:lang w:val="en-US" w:eastAsia="zh-CN"/>
        </w:rPr>
        <w:t>违反政府采购法律法规或招标文件要求的，投标供应商应当依法承担相应法律责任。</w:t>
      </w:r>
    </w:p>
    <w:p w14:paraId="70FBA60E">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14:paraId="40BA828F">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lang w:val="en-US" w:eastAsia="zh-CN"/>
        </w:rPr>
        <w:t>（六）</w:t>
      </w:r>
      <w:r>
        <w:rPr>
          <w:rFonts w:hint="eastAsia" w:ascii="仿宋_GB2312" w:hAnsi="仿宋_GB2312" w:eastAsia="仿宋_GB2312" w:cs="仿宋_GB2312"/>
          <w:b w:val="0"/>
          <w:bCs w:val="0"/>
          <w:sz w:val="32"/>
          <w:szCs w:val="32"/>
          <w:highlight w:val="none"/>
          <w:lang w:val="en-US" w:eastAsia="zh-CN"/>
        </w:rPr>
        <w:t>单位负责人为同一人或者存在直接控股、管理关系的不同供应商，不得参加同一合同项下的政府采购活动。相关情形</w:t>
      </w:r>
      <w:r>
        <w:rPr>
          <w:rFonts w:hint="eastAsia" w:ascii="仿宋_GB2312" w:hAnsi="Times New Roman" w:eastAsia="仿宋_GB2312" w:cs="Times New Roman"/>
          <w:sz w:val="32"/>
          <w:szCs w:val="32"/>
          <w:lang w:eastAsia="zh-CN"/>
        </w:rPr>
        <w:t>如</w:t>
      </w:r>
      <w:r>
        <w:rPr>
          <w:rFonts w:hint="eastAsia" w:ascii="仿宋_GB2312" w:hAnsi="仿宋_GB2312" w:eastAsia="仿宋_GB2312" w:cs="仿宋_GB2312"/>
          <w:b w:val="0"/>
          <w:bCs w:val="0"/>
          <w:sz w:val="32"/>
          <w:szCs w:val="32"/>
          <w:highlight w:val="none"/>
          <w:lang w:val="en-US" w:eastAsia="zh-CN"/>
        </w:rPr>
        <w:t>查实，依法作投标无效处理；涉嫌串通投标等违法行为的，主管部门将依法调查处理。</w:t>
      </w:r>
    </w:p>
    <w:p w14:paraId="0AA72B07">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四、本公司已充分知悉</w:t>
      </w:r>
      <w:r>
        <w:rPr>
          <w:rFonts w:hint="eastAsia" w:ascii="黑体" w:hAnsi="黑体" w:eastAsia="黑体" w:cs="黑体"/>
          <w:b w:val="0"/>
          <w:bCs w:val="0"/>
          <w:sz w:val="32"/>
          <w:szCs w:val="32"/>
          <w:highlight w:val="none"/>
          <w:u w:val="none"/>
          <w:lang w:val="en-US" w:eastAsia="zh-CN"/>
        </w:rPr>
        <w:t>政府采购违法、违规行为</w:t>
      </w:r>
      <w:r>
        <w:rPr>
          <w:rFonts w:hint="eastAsia" w:ascii="黑体" w:hAnsi="黑体" w:eastAsia="黑体" w:cs="黑体"/>
          <w:b w:val="0"/>
          <w:bCs w:val="0"/>
          <w:sz w:val="32"/>
          <w:szCs w:val="32"/>
          <w:highlight w:val="none"/>
          <w:lang w:val="en-US" w:eastAsia="zh-CN"/>
        </w:rPr>
        <w:t>的法律后果</w:t>
      </w:r>
    </w:p>
    <w:p w14:paraId="554179D4">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sz w:val="32"/>
          <w:szCs w:val="32"/>
          <w:lang w:val="en-US" w:eastAsia="zh-CN"/>
        </w:rPr>
        <w:t>经查实，若投标供应商存在</w:t>
      </w:r>
      <w:r>
        <w:rPr>
          <w:rFonts w:hint="eastAsia" w:ascii="仿宋_GB2312" w:hAnsi="仿宋_GB2312" w:eastAsia="仿宋_GB2312" w:cs="仿宋_GB2312"/>
          <w:sz w:val="32"/>
          <w:szCs w:val="32"/>
          <w:u w:val="none"/>
          <w:lang w:val="en-US" w:eastAsia="zh-CN"/>
        </w:rPr>
        <w:t>政府采购违法、违规行为</w:t>
      </w:r>
      <w:r>
        <w:rPr>
          <w:rFonts w:hint="eastAsia" w:ascii="仿宋_GB2312" w:hAnsi="仿宋_GB2312" w:eastAsia="仿宋_GB2312" w:cs="仿宋_GB2312"/>
          <w:sz w:val="32"/>
          <w:szCs w:val="32"/>
          <w:lang w:val="en-US" w:eastAsia="zh-CN"/>
        </w:rPr>
        <w:t>，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14:paraId="5106543F">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以下文字请投标供应商抄写并确认：“本公司已仔细阅读《政府采购违法行为风险知悉确认书》，充分知悉违法行为的法律后果，并承诺将</w:t>
      </w:r>
      <w:r>
        <w:rPr>
          <w:rFonts w:hint="eastAsia" w:ascii="仿宋_GB2312" w:hAnsi="仿宋_GB2312" w:eastAsia="仿宋_GB2312" w:cs="仿宋_GB2312"/>
          <w:b w:val="0"/>
          <w:bCs w:val="0"/>
          <w:sz w:val="32"/>
          <w:szCs w:val="32"/>
          <w:lang w:val="en-US" w:eastAsia="zh-CN"/>
        </w:rPr>
        <w:t>严谨、诚信、依法依规参与政府采购活动</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b w:val="0"/>
          <w:bCs w:val="0"/>
          <w:sz w:val="32"/>
          <w:szCs w:val="32"/>
          <w:lang w:val="en-US" w:eastAsia="zh-CN"/>
        </w:rPr>
        <w:t>。</w:t>
      </w:r>
    </w:p>
    <w:p w14:paraId="3C65EDFF">
      <w:pPr>
        <w:keepNext w:val="0"/>
        <w:keepLines w:val="0"/>
        <w:pageBreakBefore w:val="0"/>
        <w:numPr>
          <w:ilvl w:val="0"/>
          <w:numId w:val="0"/>
        </w:numPr>
        <w:kinsoku/>
        <w:overflowPunct/>
        <w:topLinePunct w:val="0"/>
        <w:autoSpaceDE/>
        <w:autoSpaceDN/>
        <w:bidi w:val="0"/>
        <w:adjustRightInd/>
        <w:snapToGrid/>
        <w:spacing w:beforeLines="0" w:afterLines="0" w:line="579"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u w:val="single"/>
          <w:lang w:val="en-US" w:eastAsia="zh-CN"/>
        </w:rPr>
        <w:t xml:space="preserve">                                                    </w:t>
      </w:r>
    </w:p>
    <w:p w14:paraId="13AE6024">
      <w:pPr>
        <w:keepNext w:val="0"/>
        <w:keepLines w:val="0"/>
        <w:pageBreakBefore w:val="0"/>
        <w:numPr>
          <w:ilvl w:val="0"/>
          <w:numId w:val="0"/>
        </w:numPr>
        <w:kinsoku/>
        <w:overflowPunct/>
        <w:topLinePunct w:val="0"/>
        <w:autoSpaceDE/>
        <w:autoSpaceDN/>
        <w:bidi w:val="0"/>
        <w:adjustRightInd/>
        <w:snapToGrid/>
        <w:spacing w:beforeLines="0" w:afterLines="0" w:line="579" w:lineRule="exact"/>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p>
    <w:p w14:paraId="70888CFE">
      <w:pPr>
        <w:keepNext w:val="0"/>
        <w:keepLines w:val="0"/>
        <w:pageBreakBefore w:val="0"/>
        <w:numPr>
          <w:ilvl w:val="0"/>
          <w:numId w:val="0"/>
        </w:numPr>
        <w:kinsoku/>
        <w:overflowPunct/>
        <w:topLinePunct w:val="0"/>
        <w:autoSpaceDE/>
        <w:autoSpaceDN/>
        <w:bidi w:val="0"/>
        <w:adjustRightInd/>
        <w:snapToGrid/>
        <w:spacing w:beforeLines="0" w:afterLines="0" w:line="579" w:lineRule="exact"/>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p>
    <w:p w14:paraId="72DEECE7">
      <w:pPr>
        <w:keepNext w:val="0"/>
        <w:keepLines w:val="0"/>
        <w:pageBreakBefore w:val="0"/>
        <w:numPr>
          <w:ilvl w:val="0"/>
          <w:numId w:val="0"/>
        </w:numPr>
        <w:kinsoku/>
        <w:overflowPunct/>
        <w:topLinePunct w:val="0"/>
        <w:autoSpaceDE/>
        <w:autoSpaceDN/>
        <w:bidi w:val="0"/>
        <w:adjustRightInd/>
        <w:snapToGrid/>
        <w:spacing w:beforeLines="0" w:afterLines="0" w:line="579" w:lineRule="exact"/>
        <w:textAlignment w:val="auto"/>
        <w:rPr>
          <w:rFonts w:hint="eastAsia" w:asciiTheme="minorHAnsi" w:hAnsiTheme="minorHAnsi" w:eastAsiaTheme="minorEastAsia" w:cstheme="minorBidi"/>
          <w:u w:val="none"/>
          <w:lang w:val="en-US" w:eastAsia="zh-CN"/>
        </w:rPr>
      </w:pPr>
      <w:r>
        <w:rPr>
          <w:rFonts w:hint="eastAsia" w:ascii="仿宋_GB2312" w:hAnsi="仿宋_GB2312" w:eastAsia="仿宋_GB2312" w:cs="仿宋_GB2312"/>
          <w:sz w:val="32"/>
          <w:szCs w:val="32"/>
          <w:u w:val="single"/>
          <w:lang w:val="en-US" w:eastAsia="zh-CN"/>
        </w:rPr>
        <w:t xml:space="preserve">                                                    </w:t>
      </w:r>
    </w:p>
    <w:p w14:paraId="38A99AA6">
      <w:pPr>
        <w:keepNext w:val="0"/>
        <w:keepLines w:val="0"/>
        <w:pageBreakBefore w:val="0"/>
        <w:numPr>
          <w:ilvl w:val="0"/>
          <w:numId w:val="0"/>
        </w:numPr>
        <w:kinsoku/>
        <w:overflowPunct/>
        <w:topLinePunct w:val="0"/>
        <w:autoSpaceDE/>
        <w:autoSpaceDN/>
        <w:bidi w:val="0"/>
        <w:adjustRightInd/>
        <w:snapToGrid/>
        <w:spacing w:beforeLines="0" w:afterLines="0" w:line="579" w:lineRule="exact"/>
        <w:textAlignment w:val="auto"/>
        <w:rPr>
          <w:rFonts w:hint="default" w:ascii="仿宋_GB2312" w:hAnsi="仿宋_GB2312" w:eastAsia="仿宋_GB2312" w:cs="仿宋_GB2312"/>
          <w:sz w:val="32"/>
          <w:szCs w:val="32"/>
          <w:highlight w:val="yellow"/>
          <w:lang w:val="en-US" w:eastAsia="zh-CN"/>
        </w:rPr>
      </w:pPr>
    </w:p>
    <w:p w14:paraId="03491A22">
      <w:pPr>
        <w:keepNext w:val="0"/>
        <w:keepLines w:val="0"/>
        <w:pageBreakBefore w:val="0"/>
        <w:numPr>
          <w:ilvl w:val="0"/>
          <w:numId w:val="0"/>
        </w:numPr>
        <w:kinsoku/>
        <w:overflowPunct/>
        <w:topLinePunct w:val="0"/>
        <w:autoSpaceDE/>
        <w:autoSpaceDN/>
        <w:bidi w:val="0"/>
        <w:adjustRightInd/>
        <w:snapToGrid/>
        <w:spacing w:beforeLines="0" w:afterLines="0" w:line="579"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负责人/投标授权代表签名：</w:t>
      </w:r>
    </w:p>
    <w:p w14:paraId="66D4B75A">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3200" w:firstLineChars="10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知悉人（公章）：</w:t>
      </w:r>
    </w:p>
    <w:p w14:paraId="23BB016C">
      <w:pPr>
        <w:keepNext w:val="0"/>
        <w:keepLines w:val="0"/>
        <w:pageBreakBefore w:val="0"/>
        <w:kinsoku/>
        <w:overflowPunct/>
        <w:topLinePunct w:val="0"/>
        <w:autoSpaceDE/>
        <w:autoSpaceDN/>
        <w:bidi w:val="0"/>
        <w:adjustRightInd/>
        <w:snapToGrid/>
        <w:spacing w:beforeLines="0" w:afterLines="0" w:line="579" w:lineRule="exact"/>
        <w:textAlignment w:val="auto"/>
        <w:rPr>
          <w:rFonts w:ascii="Times New Roman" w:hAnsi="Times New Roman" w:eastAsia="宋体" w:cs="Times New Roman"/>
          <w:sz w:val="32"/>
          <w:szCs w:val="32"/>
        </w:rPr>
      </w:pPr>
      <w:r>
        <w:rPr>
          <w:rFonts w:hint="eastAsia" w:ascii="仿宋_GB2312" w:hAnsi="仿宋_GB2312" w:eastAsia="仿宋_GB2312" w:cs="仿宋_GB2312"/>
          <w:sz w:val="32"/>
          <w:szCs w:val="32"/>
          <w:lang w:val="en-US" w:eastAsia="zh-CN"/>
        </w:rPr>
        <w:t xml:space="preserve">                    日期：</w:t>
      </w:r>
    </w:p>
    <w:p w14:paraId="2EE08255">
      <w:pPr>
        <w:rPr>
          <w:rFonts w:hint="eastAsia"/>
          <w:lang w:val="en-US" w:eastAsia="zh-CN"/>
        </w:rPr>
      </w:pPr>
    </w:p>
    <w:p w14:paraId="7B48528D"/>
    <w:p w14:paraId="6E46010B"/>
    <w:p w14:paraId="32EA3DD2">
      <w:pPr>
        <w:keepNext w:val="0"/>
        <w:keepLines w:val="0"/>
        <w:pageBreakBefore w:val="0"/>
        <w:widowControl w:val="0"/>
        <w:kinsoku/>
        <w:wordWrap/>
        <w:overflowPunct/>
        <w:topLinePunct w:val="0"/>
        <w:autoSpaceDE/>
        <w:autoSpaceDN/>
        <w:bidi w:val="0"/>
        <w:adjustRightInd/>
        <w:snapToGrid/>
        <w:spacing w:line="579" w:lineRule="exact"/>
        <w:ind w:left="5110" w:leftChars="1976" w:hanging="960" w:hangingChars="300"/>
        <w:textAlignment w:val="auto"/>
        <w:rPr>
          <w:rFonts w:hint="eastAsia" w:ascii="仿宋_GB2312" w:hAnsi="仿宋_GB2312" w:eastAsia="仿宋_GB2312" w:cs="仿宋_GB2312"/>
          <w:bCs/>
          <w:kern w:val="2"/>
          <w:sz w:val="32"/>
          <w:szCs w:val="32"/>
          <w:lang w:val="en-US" w:eastAsia="zh-CN" w:bidi="ar-SA"/>
        </w:rPr>
      </w:pPr>
    </w:p>
    <w:p w14:paraId="17BE0E68">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bCs/>
          <w:kern w:val="2"/>
          <w:sz w:val="32"/>
          <w:szCs w:val="32"/>
          <w:lang w:val="en-US" w:eastAsia="zh-CN" w:bidi="ar-SA"/>
        </w:rPr>
      </w:pPr>
    </w:p>
    <w:p w14:paraId="2F33E764">
      <w:pPr>
        <w:pStyle w:val="2"/>
        <w:rPr>
          <w:rFonts w:hint="eastAsia" w:ascii="仿宋_GB2312" w:hAnsi="仿宋_GB2312" w:eastAsia="仿宋_GB2312" w:cs="仿宋_GB2312"/>
          <w:bCs/>
          <w:kern w:val="2"/>
          <w:sz w:val="32"/>
          <w:szCs w:val="32"/>
          <w:lang w:val="en-US" w:eastAsia="zh-CN" w:bidi="ar-SA"/>
        </w:rPr>
      </w:pPr>
    </w:p>
    <w:p w14:paraId="4BD4B79E">
      <w:pPr>
        <w:rPr>
          <w:rFonts w:hint="eastAsia" w:ascii="仿宋_GB2312" w:hAnsi="仿宋_GB2312" w:eastAsia="仿宋_GB2312" w:cs="仿宋_GB2312"/>
          <w:bCs/>
          <w:kern w:val="2"/>
          <w:sz w:val="32"/>
          <w:szCs w:val="32"/>
          <w:lang w:val="en-US" w:eastAsia="zh-CN" w:bidi="ar-SA"/>
        </w:rPr>
      </w:pPr>
    </w:p>
    <w:p w14:paraId="3AFF5213">
      <w:pPr>
        <w:pStyle w:val="2"/>
        <w:rPr>
          <w:rFonts w:hint="eastAsia" w:ascii="仿宋_GB2312" w:hAnsi="仿宋_GB2312" w:eastAsia="仿宋_GB2312" w:cs="仿宋_GB2312"/>
          <w:bCs/>
          <w:kern w:val="2"/>
          <w:sz w:val="32"/>
          <w:szCs w:val="32"/>
          <w:lang w:val="en-US" w:eastAsia="zh-CN" w:bidi="ar-SA"/>
        </w:rPr>
      </w:pPr>
    </w:p>
    <w:p w14:paraId="4BF6BC7E">
      <w:pPr>
        <w:rPr>
          <w:rFonts w:hint="eastAsia" w:ascii="仿宋_GB2312" w:hAnsi="仿宋_GB2312" w:eastAsia="仿宋_GB2312" w:cs="仿宋_GB2312"/>
          <w:bCs/>
          <w:kern w:val="2"/>
          <w:sz w:val="32"/>
          <w:szCs w:val="32"/>
          <w:lang w:val="en-US" w:eastAsia="zh-CN" w:bidi="ar-SA"/>
        </w:rPr>
      </w:pPr>
    </w:p>
    <w:p w14:paraId="329CFA50">
      <w:pPr>
        <w:pStyle w:val="2"/>
        <w:rPr>
          <w:rFonts w:hint="eastAsia" w:ascii="仿宋_GB2312" w:hAnsi="仿宋_GB2312" w:eastAsia="仿宋_GB2312" w:cs="仿宋_GB2312"/>
          <w:bCs/>
          <w:kern w:val="2"/>
          <w:sz w:val="32"/>
          <w:szCs w:val="32"/>
          <w:lang w:val="en-US" w:eastAsia="zh-CN" w:bidi="ar-SA"/>
        </w:rPr>
      </w:pPr>
    </w:p>
    <w:p w14:paraId="01078E66">
      <w:pPr>
        <w:widowControl w:val="0"/>
        <w:wordWrap w:val="0"/>
        <w:spacing w:beforeLines="0" w:afterLines="0" w:line="579" w:lineRule="exact"/>
        <w:ind w:firstLine="0" w:firstLineChars="0"/>
        <w:jc w:val="both"/>
        <w:outlineLvl w:val="0"/>
        <w:rPr>
          <w:rFonts w:hint="eastAsia" w:ascii="黑体" w:hAnsi="黑体" w:eastAsia="黑体" w:cs="黑体"/>
          <w:bCs/>
          <w:sz w:val="32"/>
          <w:szCs w:val="32"/>
          <w:highlight w:val="none"/>
        </w:rPr>
      </w:pPr>
    </w:p>
    <w:p w14:paraId="6C32C938">
      <w:pPr>
        <w:widowControl w:val="0"/>
        <w:wordWrap w:val="0"/>
        <w:spacing w:beforeLines="0" w:afterLines="0" w:line="579" w:lineRule="exact"/>
        <w:ind w:firstLine="0" w:firstLineChars="0"/>
        <w:jc w:val="both"/>
        <w:outlineLvl w:val="0"/>
        <w:rPr>
          <w:rFonts w:hint="eastAsia" w:ascii="黑体" w:hAnsi="黑体" w:eastAsia="黑体" w:cs="黑体"/>
          <w:bCs/>
          <w:sz w:val="32"/>
          <w:szCs w:val="32"/>
          <w:highlight w:val="none"/>
        </w:rPr>
      </w:pPr>
    </w:p>
    <w:p w14:paraId="6E4CFA62">
      <w:pPr>
        <w:widowControl w:val="0"/>
        <w:wordWrap w:val="0"/>
        <w:spacing w:beforeLines="0" w:afterLines="0" w:line="579" w:lineRule="exact"/>
        <w:ind w:firstLine="0" w:firstLineChars="0"/>
        <w:jc w:val="both"/>
        <w:outlineLvl w:val="0"/>
        <w:rPr>
          <w:rFonts w:hint="eastAsia" w:ascii="黑体" w:hAnsi="黑体" w:eastAsia="黑体" w:cs="黑体"/>
          <w:bCs/>
          <w:sz w:val="32"/>
          <w:szCs w:val="32"/>
          <w:highlight w:val="none"/>
        </w:rPr>
      </w:pPr>
    </w:p>
    <w:p w14:paraId="69C7B1F6">
      <w:pPr>
        <w:widowControl w:val="0"/>
        <w:wordWrap w:val="0"/>
        <w:spacing w:beforeLines="0" w:afterLines="0" w:line="579" w:lineRule="exact"/>
        <w:ind w:firstLine="0" w:firstLineChars="0"/>
        <w:jc w:val="both"/>
        <w:outlineLvl w:val="0"/>
        <w:rPr>
          <w:rFonts w:hint="eastAsia" w:ascii="黑体" w:hAnsi="黑体" w:eastAsia="黑体" w:cs="黑体"/>
          <w:bCs/>
          <w:sz w:val="32"/>
          <w:szCs w:val="32"/>
          <w:highlight w:val="none"/>
        </w:rPr>
      </w:pPr>
    </w:p>
    <w:p w14:paraId="13B0D0A5">
      <w:pPr>
        <w:widowControl w:val="0"/>
        <w:wordWrap w:val="0"/>
        <w:spacing w:beforeLines="0" w:afterLines="0" w:line="579" w:lineRule="exact"/>
        <w:ind w:firstLine="0" w:firstLineChars="0"/>
        <w:jc w:val="both"/>
        <w:outlineLvl w:val="0"/>
        <w:rPr>
          <w:rFonts w:hint="eastAsia" w:ascii="黑体" w:hAnsi="黑体" w:eastAsia="黑体" w:cs="黑体"/>
          <w:bCs/>
          <w:sz w:val="32"/>
          <w:szCs w:val="32"/>
          <w:highlight w:val="none"/>
        </w:rPr>
      </w:pPr>
    </w:p>
    <w:p w14:paraId="6F888822">
      <w:pPr>
        <w:widowControl w:val="0"/>
        <w:wordWrap w:val="0"/>
        <w:spacing w:beforeLines="0" w:afterLines="0" w:line="579" w:lineRule="exact"/>
        <w:ind w:firstLine="0" w:firstLineChars="0"/>
        <w:jc w:val="both"/>
        <w:outlineLvl w:val="0"/>
        <w:rPr>
          <w:rFonts w:hint="eastAsia" w:ascii="黑体" w:hAnsi="黑体" w:eastAsia="黑体" w:cs="黑体"/>
          <w:bCs/>
          <w:sz w:val="32"/>
          <w:szCs w:val="32"/>
          <w:highlight w:val="none"/>
        </w:rPr>
      </w:pPr>
    </w:p>
    <w:p w14:paraId="7901BD77">
      <w:pPr>
        <w:widowControl w:val="0"/>
        <w:wordWrap w:val="0"/>
        <w:spacing w:beforeLines="0" w:afterLines="0" w:line="579" w:lineRule="exact"/>
        <w:ind w:firstLine="0" w:firstLineChars="0"/>
        <w:jc w:val="both"/>
        <w:outlineLvl w:val="0"/>
        <w:rPr>
          <w:rFonts w:hint="eastAsia" w:ascii="黑体" w:hAnsi="黑体" w:eastAsia="黑体" w:cs="黑体"/>
          <w:kern w:val="2"/>
          <w:sz w:val="32"/>
          <w:szCs w:val="32"/>
          <w:lang w:val="en-US" w:eastAsia="zh-CN" w:bidi="ar-SA"/>
        </w:rPr>
      </w:pPr>
      <w:r>
        <w:rPr>
          <w:rFonts w:hint="eastAsia" w:ascii="黑体" w:hAnsi="黑体" w:eastAsia="黑体" w:cs="黑体"/>
          <w:bCs/>
          <w:sz w:val="32"/>
          <w:szCs w:val="32"/>
          <w:highlight w:val="none"/>
        </w:rPr>
        <w:t>附件</w:t>
      </w:r>
      <w:r>
        <w:rPr>
          <w:rFonts w:hint="eastAsia" w:ascii="黑体" w:hAnsi="黑体" w:eastAsia="黑体" w:cs="黑体"/>
          <w:bCs/>
          <w:sz w:val="32"/>
          <w:szCs w:val="32"/>
          <w:highlight w:val="none"/>
          <w:lang w:val="en-US" w:eastAsia="zh-CN"/>
        </w:rPr>
        <w:t>3</w:t>
      </w:r>
    </w:p>
    <w:p w14:paraId="24F1DCB4">
      <w:pPr>
        <w:keepNext w:val="0"/>
        <w:keepLines w:val="0"/>
        <w:pageBreakBefore w:val="0"/>
        <w:widowControl/>
        <w:kinsoku/>
        <w:wordWrap/>
        <w:overflowPunct/>
        <w:topLinePunct w:val="0"/>
        <w:bidi w:val="0"/>
        <w:adjustRightInd/>
        <w:snapToGrid/>
        <w:spacing w:beforeLines="0" w:afterLines="0" w:line="579" w:lineRule="exact"/>
        <w:ind w:firstLine="0" w:firstLineChars="0"/>
        <w:jc w:val="center"/>
        <w:outlineLvl w:val="0"/>
        <w:rPr>
          <w:rFonts w:hint="eastAsia" w:ascii="方正小标宋_GBK" w:hAnsi="方正小标宋_GBK" w:eastAsia="方正小标宋_GBK" w:cs="方正小标宋_GBK"/>
          <w:spacing w:val="-2"/>
          <w:sz w:val="44"/>
          <w:szCs w:val="44"/>
          <w:highlight w:val="none"/>
          <w:lang w:eastAsia="zh-CN"/>
        </w:rPr>
      </w:pPr>
      <w:r>
        <w:rPr>
          <w:rFonts w:hint="eastAsia" w:ascii="方正小标宋_GBK" w:hAnsi="方正小标宋_GBK" w:eastAsia="方正小标宋_GBK" w:cs="方正小标宋_GBK"/>
          <w:spacing w:val="-2"/>
          <w:sz w:val="44"/>
          <w:szCs w:val="44"/>
          <w:highlight w:val="none"/>
          <w:lang w:eastAsia="zh-CN"/>
        </w:rPr>
        <w:t>履约承诺函</w:t>
      </w:r>
    </w:p>
    <w:p w14:paraId="4D05DC19">
      <w:pPr>
        <w:widowControl w:val="0"/>
        <w:spacing w:line="579" w:lineRule="exact"/>
        <w:ind w:firstLine="320" w:firstLineChars="100"/>
        <w:jc w:val="center"/>
        <w:rPr>
          <w:rFonts w:hint="eastAsia" w:ascii="黑体" w:hAnsi="黑体" w:eastAsia="黑体" w:cs="黑体"/>
          <w:kern w:val="2"/>
          <w:sz w:val="32"/>
          <w:szCs w:val="32"/>
          <w:lang w:val="en-US" w:eastAsia="zh-CN" w:bidi="ar-SA"/>
        </w:rPr>
      </w:pPr>
    </w:p>
    <w:p w14:paraId="2D68EF08">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致：</w:t>
      </w:r>
      <w:r>
        <w:rPr>
          <w:rFonts w:hint="eastAsia" w:ascii="仿宋_GB2312" w:hAnsi="仿宋_GB2312" w:eastAsia="仿宋_GB2312" w:cs="仿宋_GB2312"/>
          <w:b w:val="0"/>
          <w:bCs w:val="0"/>
          <w:color w:val="auto"/>
          <w:sz w:val="32"/>
          <w:szCs w:val="32"/>
          <w:highlight w:val="none"/>
          <w:u w:val="none"/>
          <w:lang w:eastAsia="zh-CN"/>
        </w:rPr>
        <w:t>深圳市福田区沙头街道办事处</w:t>
      </w:r>
    </w:p>
    <w:p w14:paraId="6106AE9F">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我单位承诺：</w:t>
      </w:r>
    </w:p>
    <w:p w14:paraId="4AE9DDBD">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1.我单位参与本项目所投标（响应）的货物、工程或服务，不存在侵犯知识产权的情况。</w:t>
      </w:r>
    </w:p>
    <w:p w14:paraId="1F4D0BEF">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2.我单位参与本项目政府采购活动时不存在被有关部门禁止参与政府采购活动且在有效期内的情况。</w:t>
      </w:r>
    </w:p>
    <w:p w14:paraId="7F0DA707">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3.我单位具备《中华人民共和国政府采购法》第二十二条第一款规定的六项条件。</w:t>
      </w:r>
    </w:p>
    <w:p w14:paraId="70A0C475">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4.我单位未被列入失信被执行人、重大税收违法案件当事人名单（重大税收违法失信主体）、政府采购严重违法失信行为记录名单。</w:t>
      </w:r>
    </w:p>
    <w:p w14:paraId="7F7BB73E">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w:t>
      </w:r>
      <w:bookmarkStart w:id="0" w:name="_Hlk72587269"/>
      <w:bookmarkStart w:id="1" w:name="_Hlk72587299"/>
      <w:r>
        <w:rPr>
          <w:rFonts w:hint="eastAsia" w:ascii="仿宋_GB2312" w:hAnsi="仿宋_GB2312" w:eastAsia="仿宋_GB2312" w:cs="仿宋_GB2312"/>
          <w:color w:val="auto"/>
          <w:sz w:val="32"/>
          <w:szCs w:val="32"/>
        </w:rPr>
        <w:t>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bookmarkEnd w:id="0"/>
      <w:r>
        <w:rPr>
          <w:rFonts w:hint="eastAsia" w:ascii="仿宋_GB2312" w:hAnsi="仿宋_GB2312" w:eastAsia="仿宋_GB2312" w:cs="仿宋_GB2312"/>
          <w:color w:val="auto"/>
          <w:sz w:val="32"/>
          <w:szCs w:val="32"/>
        </w:rPr>
        <w:t>。</w:t>
      </w:r>
    </w:p>
    <w:bookmarkEnd w:id="1"/>
    <w:p w14:paraId="30DCEE24">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1AB6C2B7">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040C339A">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6A491BCF">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8.我单位承诺中标后项目不转包，未经采购人同意不进行分包。</w:t>
      </w:r>
    </w:p>
    <w:p w14:paraId="0C6445DF">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9.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6A3AF1E3">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10.我单位保证，若所投货物涉及《财政部生态环境部关于印发节能产品政府采购品目清单的通知》（财库〔2019〕19号）列明的政府采购强制产品，则所投该产品符合节能产品的认证要求。</w:t>
      </w:r>
    </w:p>
    <w:p w14:paraId="1BC152C0">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11.我单位已知悉并同意中标（成交）结果信息公示（公开）的内容。</w:t>
      </w:r>
    </w:p>
    <w:p w14:paraId="25652802">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12.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w:t>
      </w:r>
    </w:p>
    <w:p w14:paraId="6FA3E850">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13.我单位清楚，如存在违反投标承诺行为情节严重的，将根据《深圳市财政局关于印发&lt;深圳市财政局政府采购供应商信用信息管理办法&gt;的通知》，依法被列入失信信息。</w:t>
      </w:r>
    </w:p>
    <w:p w14:paraId="7321ED45">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以上承诺，如有违反，愿依照国家相关法律法规处理，并承担由此给采购人带来的损失。</w:t>
      </w:r>
    </w:p>
    <w:p w14:paraId="668362C6">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w:t>
      </w:r>
    </w:p>
    <w:p w14:paraId="6FDF4654">
      <w:pPr>
        <w:keepNext w:val="0"/>
        <w:keepLines w:val="0"/>
        <w:pageBreakBefore w:val="0"/>
        <w:widowControl w:val="0"/>
        <w:kinsoku/>
        <w:wordWrap/>
        <w:overflowPunct/>
        <w:topLinePunct w:val="0"/>
        <w:autoSpaceDE/>
        <w:autoSpaceDN/>
        <w:bidi w:val="0"/>
        <w:adjustRightInd/>
        <w:snapToGrid/>
        <w:spacing w:beforeLines="0" w:afterLines="0" w:line="579" w:lineRule="exact"/>
        <w:ind w:firstLine="4480" w:firstLineChars="14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投标人：              </w:t>
      </w:r>
    </w:p>
    <w:p w14:paraId="142D7427">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微软雅黑" w:hAnsi="微软雅黑" w:eastAsia="微软雅黑" w:cs="Times New Roman"/>
          <w:color w:val="000000"/>
          <w:sz w:val="32"/>
          <w:szCs w:val="32"/>
        </w:rPr>
      </w:pPr>
      <w:r>
        <w:rPr>
          <w:rFonts w:hint="eastAsia" w:ascii="仿宋_GB2312" w:hAnsi="仿宋_GB2312" w:eastAsia="仿宋_GB2312" w:cs="仿宋_GB2312"/>
          <w:color w:val="auto"/>
          <w:sz w:val="32"/>
          <w:szCs w:val="32"/>
        </w:rPr>
        <w:t xml:space="preserve">                        日期：    年   月   日</w:t>
      </w:r>
    </w:p>
    <w:p w14:paraId="1B78DD3D">
      <w:pPr>
        <w:rPr>
          <w:rFonts w:ascii="Times New Roman" w:hAnsi="Times New Roman" w:eastAsia="宋体" w:cs="Times New Roman"/>
        </w:rPr>
      </w:pPr>
    </w:p>
    <w:p w14:paraId="1222E889">
      <w:pPr>
        <w:widowControl w:val="0"/>
        <w:spacing w:line="500" w:lineRule="exact"/>
        <w:ind w:firstLine="440" w:firstLineChars="100"/>
        <w:jc w:val="center"/>
        <w:rPr>
          <w:rFonts w:hint="eastAsia" w:ascii="宋体" w:hAnsi="Times New Roman" w:eastAsia="宋体" w:cs="Times New Roman"/>
          <w:kern w:val="2"/>
          <w:sz w:val="44"/>
          <w:szCs w:val="24"/>
          <w:lang w:val="en-US" w:eastAsia="zh-CN" w:bidi="ar-SA"/>
        </w:rPr>
      </w:pPr>
    </w:p>
    <w:p w14:paraId="476241E6">
      <w:pPr>
        <w:keepNext w:val="0"/>
        <w:keepLines w:val="0"/>
        <w:pageBreakBefore w:val="0"/>
        <w:widowControl w:val="0"/>
        <w:kinsoku/>
        <w:wordWrap/>
        <w:overflowPunct/>
        <w:topLinePunct w:val="0"/>
        <w:bidi w:val="0"/>
        <w:adjustRightInd/>
        <w:snapToGrid/>
        <w:spacing w:line="579" w:lineRule="exact"/>
        <w:ind w:firstLine="0" w:firstLineChars="0"/>
        <w:jc w:val="both"/>
        <w:textAlignment w:val="auto"/>
        <w:rPr>
          <w:rFonts w:ascii="仿宋_GB2312" w:hAnsi="Times New Roman" w:eastAsia="仿宋_GB2312" w:cs="Times New Roman"/>
          <w:kern w:val="2"/>
          <w:sz w:val="32"/>
          <w:szCs w:val="32"/>
          <w:highlight w:val="none"/>
          <w:lang w:val="en-US" w:eastAsia="zh-CN" w:bidi="ar-SA"/>
        </w:rPr>
      </w:pPr>
    </w:p>
    <w:p w14:paraId="1E16AB4B">
      <w:pPr>
        <w:rPr>
          <w:rFonts w:ascii="Times New Roman" w:hAnsi="Times New Roman" w:eastAsia="宋体" w:cs="Times New Roman"/>
        </w:rPr>
      </w:pPr>
    </w:p>
    <w:p w14:paraId="7C0B8667"/>
    <w:p w14:paraId="6C27FD3F">
      <w:pPr>
        <w:pStyle w:val="2"/>
      </w:pPr>
    </w:p>
    <w:p w14:paraId="6A8F5C1A">
      <w:pPr>
        <w:numPr>
          <w:ilvl w:val="0"/>
          <w:numId w:val="0"/>
        </w:numPr>
        <w:spacing w:line="579" w:lineRule="exact"/>
        <w:ind w:firstLine="0" w:firstLineChars="0"/>
        <w:rPr>
          <w:rFonts w:hint="eastAsia" w:ascii="黑体" w:hAnsi="黑体" w:eastAsia="黑体" w:cs="黑体"/>
          <w:b w:val="0"/>
          <w:bCs w:val="0"/>
          <w:kern w:val="2"/>
          <w:sz w:val="32"/>
          <w:szCs w:val="32"/>
          <w:highlight w:val="none"/>
          <w:lang w:eastAsia="zh-CN"/>
        </w:rPr>
      </w:pPr>
    </w:p>
    <w:p w14:paraId="168C429B">
      <w:pPr>
        <w:numPr>
          <w:ilvl w:val="0"/>
          <w:numId w:val="0"/>
        </w:numPr>
        <w:spacing w:line="579" w:lineRule="exact"/>
        <w:ind w:firstLine="0" w:firstLineChars="0"/>
        <w:rPr>
          <w:rFonts w:hint="eastAsia" w:ascii="黑体" w:hAnsi="黑体" w:eastAsia="黑体" w:cs="黑体"/>
          <w:b w:val="0"/>
          <w:bCs w:val="0"/>
          <w:kern w:val="2"/>
          <w:sz w:val="32"/>
          <w:szCs w:val="32"/>
          <w:highlight w:val="none"/>
          <w:lang w:eastAsia="zh-CN"/>
        </w:rPr>
      </w:pPr>
    </w:p>
    <w:p w14:paraId="40BD254B">
      <w:pPr>
        <w:numPr>
          <w:ilvl w:val="0"/>
          <w:numId w:val="0"/>
        </w:numPr>
        <w:spacing w:line="579" w:lineRule="exact"/>
        <w:ind w:firstLine="0" w:firstLineChars="0"/>
        <w:rPr>
          <w:rFonts w:hint="eastAsia" w:ascii="黑体" w:hAnsi="黑体" w:eastAsia="黑体" w:cs="黑体"/>
          <w:b w:val="0"/>
          <w:bCs w:val="0"/>
          <w:kern w:val="2"/>
          <w:sz w:val="32"/>
          <w:szCs w:val="32"/>
          <w:highlight w:val="none"/>
          <w:lang w:eastAsia="zh-CN"/>
        </w:rPr>
      </w:pPr>
    </w:p>
    <w:p w14:paraId="08F5F835">
      <w:pPr>
        <w:numPr>
          <w:ilvl w:val="0"/>
          <w:numId w:val="0"/>
        </w:numPr>
        <w:spacing w:line="579" w:lineRule="exact"/>
        <w:ind w:firstLine="0" w:firstLineChars="0"/>
        <w:rPr>
          <w:rFonts w:hint="eastAsia" w:ascii="黑体" w:hAnsi="黑体" w:eastAsia="黑体" w:cs="黑体"/>
          <w:b w:val="0"/>
          <w:bCs w:val="0"/>
          <w:kern w:val="2"/>
          <w:sz w:val="32"/>
          <w:szCs w:val="32"/>
          <w:highlight w:val="none"/>
          <w:lang w:eastAsia="zh-CN"/>
        </w:rPr>
      </w:pPr>
    </w:p>
    <w:p w14:paraId="10D74EDC">
      <w:pPr>
        <w:numPr>
          <w:ilvl w:val="0"/>
          <w:numId w:val="0"/>
        </w:numPr>
        <w:spacing w:line="579" w:lineRule="exact"/>
        <w:ind w:firstLine="0" w:firstLineChars="0"/>
        <w:rPr>
          <w:rFonts w:hint="default"/>
          <w:lang w:val="en-US" w:eastAsia="zh-CN"/>
        </w:rPr>
      </w:pPr>
      <w:r>
        <w:rPr>
          <w:rFonts w:hint="eastAsia" w:ascii="黑体" w:hAnsi="黑体" w:eastAsia="黑体" w:cs="黑体"/>
          <w:b w:val="0"/>
          <w:bCs w:val="0"/>
          <w:kern w:val="2"/>
          <w:sz w:val="32"/>
          <w:szCs w:val="32"/>
          <w:highlight w:val="none"/>
          <w:lang w:eastAsia="zh-CN"/>
        </w:rPr>
        <w:t>附件</w:t>
      </w:r>
      <w:r>
        <w:rPr>
          <w:rFonts w:hint="eastAsia" w:ascii="黑体" w:hAnsi="黑体" w:eastAsia="黑体" w:cs="黑体"/>
          <w:b w:val="0"/>
          <w:bCs w:val="0"/>
          <w:kern w:val="2"/>
          <w:sz w:val="32"/>
          <w:szCs w:val="32"/>
          <w:highlight w:val="none"/>
          <w:lang w:val="en-US" w:eastAsia="zh-CN"/>
        </w:rPr>
        <w:t>4</w:t>
      </w:r>
    </w:p>
    <w:p w14:paraId="7E2F84D8">
      <w:pPr>
        <w:keepNext w:val="0"/>
        <w:keepLines w:val="0"/>
        <w:pageBreakBefore w:val="0"/>
        <w:widowControl w:val="0"/>
        <w:kinsoku/>
        <w:wordWrap/>
        <w:overflowPunct/>
        <w:topLinePunct w:val="0"/>
        <w:autoSpaceDE/>
        <w:autoSpaceDN/>
        <w:bidi w:val="0"/>
        <w:spacing w:line="579" w:lineRule="exact"/>
        <w:jc w:val="center"/>
        <w:textAlignment w:val="auto"/>
        <w:rPr>
          <w:rFonts w:hint="eastAsia" w:ascii="方正小标宋_GBK" w:hAnsi="方正小标宋_GBK" w:eastAsia="方正小标宋_GBK" w:cs="方正小标宋_GBK"/>
          <w:sz w:val="44"/>
          <w:szCs w:val="44"/>
          <w:highlight w:val="none"/>
          <w:lang w:eastAsia="zh-CN"/>
        </w:rPr>
      </w:pPr>
      <w:r>
        <w:rPr>
          <w:rFonts w:hint="eastAsia" w:ascii="方正小标宋_GBK" w:hAnsi="方正小标宋_GBK" w:eastAsia="方正小标宋_GBK" w:cs="方正小标宋_GBK"/>
          <w:sz w:val="44"/>
          <w:szCs w:val="44"/>
          <w:highlight w:val="none"/>
          <w:lang w:eastAsia="zh-CN"/>
        </w:rPr>
        <w:t>诚信承诺函</w:t>
      </w:r>
    </w:p>
    <w:p w14:paraId="2CECD50D">
      <w:pPr>
        <w:keepNext w:val="0"/>
        <w:keepLines w:val="0"/>
        <w:pageBreakBefore w:val="0"/>
        <w:widowControl w:val="0"/>
        <w:kinsoku/>
        <w:wordWrap/>
        <w:overflowPunct/>
        <w:topLinePunct w:val="0"/>
        <w:autoSpaceDE/>
        <w:autoSpaceDN/>
        <w:bidi w:val="0"/>
        <w:spacing w:line="579" w:lineRule="exact"/>
        <w:jc w:val="center"/>
        <w:textAlignment w:val="auto"/>
        <w:rPr>
          <w:rFonts w:hint="eastAsia" w:ascii="方正小标宋_GBK" w:hAnsi="方正小标宋_GBK" w:eastAsia="方正小标宋_GBK" w:cs="方正小标宋_GBK"/>
          <w:sz w:val="44"/>
          <w:szCs w:val="44"/>
          <w:highlight w:val="none"/>
          <w:lang w:val="en-US" w:eastAsia="zh-CN"/>
        </w:rPr>
      </w:pPr>
    </w:p>
    <w:p w14:paraId="7C907C1A">
      <w:pPr>
        <w:keepNext w:val="0"/>
        <w:keepLines w:val="0"/>
        <w:pageBreakBefore w:val="0"/>
        <w:widowControl w:val="0"/>
        <w:numPr>
          <w:ilvl w:val="0"/>
          <w:numId w:val="0"/>
        </w:numPr>
        <w:kinsoku/>
        <w:wordWrap/>
        <w:overflowPunct/>
        <w:topLinePunct w:val="0"/>
        <w:autoSpaceDE/>
        <w:autoSpaceDN/>
        <w:bidi w:val="0"/>
        <w:spacing w:line="579" w:lineRule="exact"/>
        <w:ind w:firstLine="640" w:firstLineChars="200"/>
        <w:textAlignment w:val="auto"/>
        <w:rPr>
          <w:rFonts w:hint="eastAsia" w:ascii="仿宋_GB2312" w:hAnsi="仿宋_GB2312" w:eastAsia="仿宋_GB2312" w:cs="仿宋_GB2312"/>
          <w:b w:val="0"/>
          <w:bCs w:val="0"/>
          <w:color w:val="auto"/>
          <w:sz w:val="32"/>
          <w:szCs w:val="32"/>
          <w:highlight w:val="none"/>
          <w:u w:val="none"/>
          <w:lang w:eastAsia="zh-CN"/>
        </w:rPr>
      </w:pPr>
      <w:r>
        <w:rPr>
          <w:rFonts w:hint="eastAsia" w:ascii="仿宋_GB2312" w:hAnsi="仿宋_GB2312" w:eastAsia="仿宋_GB2312" w:cs="仿宋_GB2312"/>
          <w:color w:val="auto"/>
          <w:sz w:val="32"/>
          <w:szCs w:val="32"/>
          <w:highlight w:val="none"/>
        </w:rPr>
        <w:t>致：</w:t>
      </w:r>
      <w:r>
        <w:rPr>
          <w:rFonts w:hint="eastAsia" w:ascii="仿宋_GB2312" w:hAnsi="仿宋_GB2312" w:eastAsia="仿宋_GB2312" w:cs="仿宋_GB2312"/>
          <w:b w:val="0"/>
          <w:bCs w:val="0"/>
          <w:color w:val="auto"/>
          <w:sz w:val="32"/>
          <w:szCs w:val="32"/>
          <w:highlight w:val="none"/>
          <w:u w:val="none"/>
          <w:lang w:eastAsia="zh-CN"/>
        </w:rPr>
        <w:t>深圳市福田区沙头街道办事处</w:t>
      </w:r>
    </w:p>
    <w:p w14:paraId="381FAC04">
      <w:pPr>
        <w:keepNext w:val="0"/>
        <w:keepLines w:val="0"/>
        <w:pageBreakBefore w:val="0"/>
        <w:widowControl w:val="0"/>
        <w:numPr>
          <w:ilvl w:val="0"/>
          <w:numId w:val="0"/>
        </w:numPr>
        <w:kinsoku/>
        <w:wordWrap/>
        <w:overflowPunct/>
        <w:topLinePunct w:val="0"/>
        <w:autoSpaceDE/>
        <w:autoSpaceDN/>
        <w:bidi w:val="0"/>
        <w:spacing w:line="579"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我方承诺在政府采购招标投标活动中不存在以下情形：</w:t>
      </w:r>
    </w:p>
    <w:p w14:paraId="147D2DEB">
      <w:pPr>
        <w:keepNext w:val="0"/>
        <w:keepLines w:val="0"/>
        <w:pageBreakBefore w:val="0"/>
        <w:widowControl w:val="0"/>
        <w:numPr>
          <w:ilvl w:val="0"/>
          <w:numId w:val="0"/>
        </w:numPr>
        <w:kinsoku/>
        <w:wordWrap/>
        <w:overflowPunct/>
        <w:topLinePunct w:val="0"/>
        <w:autoSpaceDE/>
        <w:autoSpaceDN/>
        <w:bidi w:val="0"/>
        <w:spacing w:line="579"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（一）被纪检监察部门立案调查，违法违规事实成立的；</w:t>
      </w:r>
    </w:p>
    <w:p w14:paraId="5AA68643">
      <w:pPr>
        <w:keepNext w:val="0"/>
        <w:keepLines w:val="0"/>
        <w:pageBreakBefore w:val="0"/>
        <w:widowControl w:val="0"/>
        <w:numPr>
          <w:ilvl w:val="0"/>
          <w:numId w:val="0"/>
        </w:numPr>
        <w:kinsoku/>
        <w:wordWrap/>
        <w:overflowPunct/>
        <w:topLinePunct w:val="0"/>
        <w:autoSpaceDE/>
        <w:autoSpaceDN/>
        <w:bidi w:val="0"/>
        <w:spacing w:line="579"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（二）未按政府采购相关规定签订、履行采购合同，造成严重后果的；</w:t>
      </w:r>
    </w:p>
    <w:p w14:paraId="2A45FB00">
      <w:pPr>
        <w:keepNext w:val="0"/>
        <w:keepLines w:val="0"/>
        <w:pageBreakBefore w:val="0"/>
        <w:widowControl w:val="0"/>
        <w:numPr>
          <w:ilvl w:val="0"/>
          <w:numId w:val="0"/>
        </w:numPr>
        <w:kinsoku/>
        <w:wordWrap/>
        <w:overflowPunct/>
        <w:topLinePunct w:val="0"/>
        <w:autoSpaceDE/>
        <w:autoSpaceDN/>
        <w:bidi w:val="0"/>
        <w:spacing w:line="579"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（三）隐瞒真实情况，提供虚假资料的；</w:t>
      </w:r>
    </w:p>
    <w:p w14:paraId="7C4779ED">
      <w:pPr>
        <w:keepNext w:val="0"/>
        <w:keepLines w:val="0"/>
        <w:pageBreakBefore w:val="0"/>
        <w:widowControl w:val="0"/>
        <w:numPr>
          <w:ilvl w:val="0"/>
          <w:numId w:val="0"/>
        </w:numPr>
        <w:kinsoku/>
        <w:wordWrap/>
        <w:overflowPunct/>
        <w:topLinePunct w:val="0"/>
        <w:autoSpaceDE/>
        <w:autoSpaceDN/>
        <w:bidi w:val="0"/>
        <w:spacing w:line="579"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（四）以非法手段排斥其他供应商参与竞争的；</w:t>
      </w:r>
    </w:p>
    <w:p w14:paraId="27C15C64">
      <w:pPr>
        <w:keepNext w:val="0"/>
        <w:keepLines w:val="0"/>
        <w:pageBreakBefore w:val="0"/>
        <w:widowControl w:val="0"/>
        <w:numPr>
          <w:ilvl w:val="0"/>
          <w:numId w:val="0"/>
        </w:numPr>
        <w:kinsoku/>
        <w:wordWrap/>
        <w:overflowPunct/>
        <w:topLinePunct w:val="0"/>
        <w:autoSpaceDE/>
        <w:autoSpaceDN/>
        <w:bidi w:val="0"/>
        <w:spacing w:line="579"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（五）与其他采购参加人串通投标的；</w:t>
      </w:r>
    </w:p>
    <w:p w14:paraId="1A921D3B">
      <w:pPr>
        <w:keepNext w:val="0"/>
        <w:keepLines w:val="0"/>
        <w:pageBreakBefore w:val="0"/>
        <w:widowControl w:val="0"/>
        <w:numPr>
          <w:ilvl w:val="0"/>
          <w:numId w:val="0"/>
        </w:numPr>
        <w:kinsoku/>
        <w:wordWrap/>
        <w:overflowPunct/>
        <w:topLinePunct w:val="0"/>
        <w:autoSpaceDE/>
        <w:autoSpaceDN/>
        <w:bidi w:val="0"/>
        <w:spacing w:line="579"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 xml:space="preserve">（六）在采购活动中应当回避而未回避的； </w:t>
      </w:r>
    </w:p>
    <w:p w14:paraId="285DD1B7">
      <w:pPr>
        <w:keepNext w:val="0"/>
        <w:keepLines w:val="0"/>
        <w:pageBreakBefore w:val="0"/>
        <w:widowControl w:val="0"/>
        <w:numPr>
          <w:ilvl w:val="0"/>
          <w:numId w:val="0"/>
        </w:numPr>
        <w:kinsoku/>
        <w:wordWrap/>
        <w:overflowPunct/>
        <w:topLinePunct w:val="0"/>
        <w:autoSpaceDE/>
        <w:autoSpaceDN/>
        <w:bidi w:val="0"/>
        <w:spacing w:line="579"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 xml:space="preserve">（七）恶意投诉的； </w:t>
      </w:r>
    </w:p>
    <w:p w14:paraId="6D1DFBAB">
      <w:pPr>
        <w:keepNext w:val="0"/>
        <w:keepLines w:val="0"/>
        <w:pageBreakBefore w:val="0"/>
        <w:widowControl w:val="0"/>
        <w:numPr>
          <w:ilvl w:val="0"/>
          <w:numId w:val="0"/>
        </w:numPr>
        <w:kinsoku/>
        <w:wordWrap/>
        <w:overflowPunct/>
        <w:topLinePunct w:val="0"/>
        <w:autoSpaceDE/>
        <w:autoSpaceDN/>
        <w:bidi w:val="0"/>
        <w:spacing w:line="579"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 xml:space="preserve">（八）向采购项目相关人行贿或者提供其他不当利益的； </w:t>
      </w:r>
    </w:p>
    <w:p w14:paraId="5BE0D564">
      <w:pPr>
        <w:keepNext w:val="0"/>
        <w:keepLines w:val="0"/>
        <w:pageBreakBefore w:val="0"/>
        <w:widowControl w:val="0"/>
        <w:numPr>
          <w:ilvl w:val="0"/>
          <w:numId w:val="0"/>
        </w:numPr>
        <w:kinsoku/>
        <w:wordWrap/>
        <w:overflowPunct/>
        <w:topLinePunct w:val="0"/>
        <w:autoSpaceDE/>
        <w:autoSpaceDN/>
        <w:bidi w:val="0"/>
        <w:spacing w:line="579"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（九）阻碍、抗拒主管部门监督检查的；</w:t>
      </w:r>
    </w:p>
    <w:p w14:paraId="56D1E6A8">
      <w:pPr>
        <w:keepNext w:val="0"/>
        <w:keepLines w:val="0"/>
        <w:pageBreakBefore w:val="0"/>
        <w:widowControl w:val="0"/>
        <w:numPr>
          <w:ilvl w:val="0"/>
          <w:numId w:val="0"/>
        </w:numPr>
        <w:kinsoku/>
        <w:wordWrap/>
        <w:overflowPunct/>
        <w:topLinePunct w:val="0"/>
        <w:autoSpaceDE/>
        <w:autoSpaceDN/>
        <w:bidi w:val="0"/>
        <w:spacing w:line="579"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（十）向采购代理机构及相关工作人员以各类形式进行施压的；</w:t>
      </w:r>
    </w:p>
    <w:p w14:paraId="302E78EC">
      <w:pPr>
        <w:keepNext w:val="0"/>
        <w:keepLines w:val="0"/>
        <w:pageBreakBefore w:val="0"/>
        <w:widowControl w:val="0"/>
        <w:numPr>
          <w:ilvl w:val="0"/>
          <w:numId w:val="0"/>
        </w:numPr>
        <w:kinsoku/>
        <w:wordWrap/>
        <w:overflowPunct/>
        <w:topLinePunct w:val="0"/>
        <w:autoSpaceDE/>
        <w:autoSpaceDN/>
        <w:bidi w:val="0"/>
        <w:spacing w:line="579"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（十一）履约检查不合格或者评价为差的；</w:t>
      </w:r>
    </w:p>
    <w:p w14:paraId="79D46C47">
      <w:pPr>
        <w:keepNext w:val="0"/>
        <w:keepLines w:val="0"/>
        <w:pageBreakBefore w:val="0"/>
        <w:widowControl w:val="0"/>
        <w:numPr>
          <w:ilvl w:val="0"/>
          <w:numId w:val="0"/>
        </w:numPr>
        <w:kinsoku/>
        <w:wordWrap/>
        <w:overflowPunct/>
        <w:topLinePunct w:val="0"/>
        <w:autoSpaceDE/>
        <w:autoSpaceDN/>
        <w:bidi w:val="0"/>
        <w:spacing w:line="579"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（十二）主管部门认定的其他情形。</w:t>
      </w:r>
    </w:p>
    <w:p w14:paraId="2BDD6689">
      <w:pPr>
        <w:keepNext w:val="0"/>
        <w:keepLines w:val="0"/>
        <w:pageBreakBefore w:val="0"/>
        <w:widowControl w:val="0"/>
        <w:numPr>
          <w:ilvl w:val="0"/>
          <w:numId w:val="0"/>
        </w:numPr>
        <w:kinsoku/>
        <w:wordWrap/>
        <w:overflowPunct/>
        <w:topLinePunct w:val="0"/>
        <w:autoSpaceDE/>
        <w:autoSpaceDN/>
        <w:bidi w:val="0"/>
        <w:spacing w:line="579"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如我方在本项目开标日前三年内存在上述行为超出法定追诉时效未被追诉、或者上述情节轻微未给予禁止参加政府采购的行政处罚，我司自愿承担虚假应标以及其他一切不利的法律后果。</w:t>
      </w:r>
    </w:p>
    <w:p w14:paraId="3FEF89B0">
      <w:pPr>
        <w:keepNext w:val="0"/>
        <w:keepLines w:val="0"/>
        <w:pageBreakBefore w:val="0"/>
        <w:widowControl w:val="0"/>
        <w:numPr>
          <w:ilvl w:val="0"/>
          <w:numId w:val="0"/>
        </w:numPr>
        <w:kinsoku/>
        <w:wordWrap/>
        <w:overflowPunct/>
        <w:topLinePunct w:val="0"/>
        <w:autoSpaceDE/>
        <w:autoSpaceDN/>
        <w:bidi w:val="0"/>
        <w:spacing w:line="579"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特此承诺。</w:t>
      </w:r>
    </w:p>
    <w:p w14:paraId="6EB69942">
      <w:pPr>
        <w:keepNext w:val="0"/>
        <w:keepLines w:val="0"/>
        <w:pageBreakBefore w:val="0"/>
        <w:widowControl w:val="0"/>
        <w:numPr>
          <w:ilvl w:val="0"/>
          <w:numId w:val="0"/>
        </w:numPr>
        <w:kinsoku/>
        <w:wordWrap/>
        <w:overflowPunct/>
        <w:topLinePunct w:val="0"/>
        <w:autoSpaceDE/>
        <w:autoSpaceDN/>
        <w:bidi w:val="0"/>
        <w:spacing w:line="579" w:lineRule="exact"/>
        <w:textAlignment w:val="auto"/>
        <w:rPr>
          <w:rFonts w:hint="eastAsia" w:ascii="仿宋_GB2312" w:hAnsi="仿宋_GB2312" w:eastAsia="仿宋_GB2312" w:cs="仿宋_GB2312"/>
          <w:b w:val="0"/>
          <w:bCs w:val="0"/>
          <w:sz w:val="32"/>
          <w:szCs w:val="32"/>
          <w:highlight w:val="none"/>
          <w:lang w:val="en-US" w:eastAsia="zh-CN"/>
        </w:rPr>
      </w:pPr>
    </w:p>
    <w:p w14:paraId="2AE2C754">
      <w:pPr>
        <w:keepNext w:val="0"/>
        <w:keepLines w:val="0"/>
        <w:pageBreakBefore w:val="0"/>
        <w:widowControl w:val="0"/>
        <w:numPr>
          <w:ilvl w:val="0"/>
          <w:numId w:val="0"/>
        </w:numPr>
        <w:kinsoku/>
        <w:wordWrap/>
        <w:overflowPunct/>
        <w:topLinePunct w:val="0"/>
        <w:autoSpaceDE/>
        <w:autoSpaceDN/>
        <w:bidi w:val="0"/>
        <w:spacing w:line="579" w:lineRule="exact"/>
        <w:ind w:firstLine="640" w:firstLineChars="200"/>
        <w:jc w:val="center"/>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 xml:space="preserve">   投标人：                      </w:t>
      </w:r>
    </w:p>
    <w:p w14:paraId="6D796FB4">
      <w:pPr>
        <w:pageBreakBefore w:val="0"/>
        <w:numPr>
          <w:ilvl w:val="0"/>
          <w:numId w:val="0"/>
        </w:numPr>
        <w:kinsoku/>
        <w:overflowPunct/>
        <w:topLinePunct w:val="0"/>
        <w:bidi w:val="0"/>
        <w:spacing w:line="579" w:lineRule="exact"/>
        <w:ind w:firstLine="640" w:firstLineChars="200"/>
        <w:jc w:val="right"/>
        <w:rPr>
          <w:rFonts w:ascii="Times New Roman" w:hAnsi="Times New Roman" w:eastAsia="宋体" w:cs="Times New Roman"/>
          <w:szCs w:val="24"/>
          <w:highlight w:val="none"/>
        </w:rPr>
      </w:pPr>
      <w:r>
        <w:rPr>
          <w:rFonts w:hint="eastAsia" w:ascii="仿宋_GB2312" w:hAnsi="仿宋_GB2312" w:eastAsia="仿宋_GB2312" w:cs="仿宋_GB2312"/>
          <w:b w:val="0"/>
          <w:bCs w:val="0"/>
          <w:sz w:val="32"/>
          <w:szCs w:val="32"/>
          <w:highlight w:val="none"/>
          <w:lang w:val="en-US" w:eastAsia="zh-CN"/>
        </w:rPr>
        <w:t>日  期：      年    月    日</w:t>
      </w:r>
    </w:p>
    <w:p w14:paraId="74FB929F">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300A2055-901E-48E0-BFA1-4F6FB1338CEE}"/>
  </w:font>
  <w:font w:name="黑体">
    <w:panose1 w:val="02010609060101010101"/>
    <w:charset w:val="86"/>
    <w:family w:val="auto"/>
    <w:pitch w:val="default"/>
    <w:sig w:usb0="800002BF" w:usb1="38CF7CFA" w:usb2="00000016" w:usb3="00000000" w:csb0="00040001" w:csb1="00000000"/>
    <w:embedRegular r:id="rId2" w:fontKey="{14493966-76F0-4DE0-9353-6E153DB5738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D2BDDE0C-C5C8-4013-91DB-9ECEF55682A7}"/>
  </w:font>
  <w:font w:name="仿宋_GB2312">
    <w:panose1 w:val="02010609030101010101"/>
    <w:charset w:val="86"/>
    <w:family w:val="auto"/>
    <w:pitch w:val="default"/>
    <w:sig w:usb0="00000001" w:usb1="080E0000" w:usb2="00000000" w:usb3="00000000" w:csb0="00040000" w:csb1="00000000"/>
    <w:embedRegular r:id="rId4" w:fontKey="{BDD56F77-4599-464A-AD47-C7C325594952}"/>
  </w:font>
  <w:font w:name="方正大标宋简体">
    <w:panose1 w:val="03000509000000000000"/>
    <w:charset w:val="86"/>
    <w:family w:val="auto"/>
    <w:pitch w:val="default"/>
    <w:sig w:usb0="00000001" w:usb1="080E0000" w:usb2="00000000" w:usb3="00000000" w:csb0="00040000" w:csb1="00000000"/>
    <w:embedRegular r:id="rId5" w:fontKey="{5982DE58-05D0-449E-BFE0-45C88E19A67C}"/>
  </w:font>
  <w:font w:name="楷体_GB2312">
    <w:panose1 w:val="02010609030101010101"/>
    <w:charset w:val="86"/>
    <w:family w:val="auto"/>
    <w:pitch w:val="default"/>
    <w:sig w:usb0="00000001" w:usb1="080E0000" w:usb2="00000000" w:usb3="00000000" w:csb0="00040000" w:csb1="00000000"/>
    <w:embedRegular r:id="rId6" w:fontKey="{F850D1D9-2A2A-40A4-9547-7314E7B360AE}"/>
  </w:font>
  <w:font w:name="方正小标宋简体">
    <w:panose1 w:val="03000509000000000000"/>
    <w:charset w:val="86"/>
    <w:family w:val="auto"/>
    <w:pitch w:val="default"/>
    <w:sig w:usb0="00000001" w:usb1="080E0000" w:usb2="00000000" w:usb3="00000000" w:csb0="00040000" w:csb1="00000000"/>
    <w:embedRegular r:id="rId7" w:fontKey="{1FE5F485-F14C-4838-B882-DCFABDBD6214}"/>
  </w:font>
  <w:font w:name="方正仿宋_GBK">
    <w:panose1 w:val="02000000000000000000"/>
    <w:charset w:val="86"/>
    <w:family w:val="auto"/>
    <w:pitch w:val="default"/>
    <w:sig w:usb0="A00002BF" w:usb1="38CF7CFA" w:usb2="00082016" w:usb3="00000000" w:csb0="00040001" w:csb1="00000000"/>
    <w:embedRegular r:id="rId8" w:fontKey="{0B3584C2-E0AE-489E-96E2-74551847436A}"/>
  </w:font>
  <w:font w:name="方正小标宋_GBK">
    <w:panose1 w:val="03000509000000000000"/>
    <w:charset w:val="86"/>
    <w:family w:val="auto"/>
    <w:pitch w:val="default"/>
    <w:sig w:usb0="00000001" w:usb1="080E0000" w:usb2="00000000" w:usb3="00000000" w:csb0="00040000" w:csb1="00000000"/>
    <w:embedRegular r:id="rId9" w:fontKey="{00CB9FD8-4833-490B-9ADA-AB93FFCB784D}"/>
  </w:font>
  <w:font w:name="微软雅黑">
    <w:panose1 w:val="020B0503020204020204"/>
    <w:charset w:val="86"/>
    <w:family w:val="auto"/>
    <w:pitch w:val="default"/>
    <w:sig w:usb0="80000287" w:usb1="280F3C52" w:usb2="00000016" w:usb3="00000000" w:csb0="0004001F" w:csb1="00000000"/>
    <w:embedRegular r:id="rId10" w:fontKey="{F6944BDB-87FC-4831-827E-D2BAD0A4ABB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AB81B">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5156A9">
                          <w:pPr>
                            <w:pStyle w:val="6"/>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25156A9">
                    <w:pPr>
                      <w:pStyle w:val="6"/>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QwYTA1ZWY1NmU0ODUwMzc4ZDk5MzExMzQxNGRiMmIifQ=="/>
    <w:docVar w:name="KSO_WPS_MARK_KEY" w:val="0c0a4793-fbcd-4145-89ea-f75cfc0e27d1"/>
  </w:docVars>
  <w:rsids>
    <w:rsidRoot w:val="00000000"/>
    <w:rsid w:val="02E07467"/>
    <w:rsid w:val="035E0DBD"/>
    <w:rsid w:val="04806B11"/>
    <w:rsid w:val="05747B55"/>
    <w:rsid w:val="06587D3C"/>
    <w:rsid w:val="07F63A01"/>
    <w:rsid w:val="0C120997"/>
    <w:rsid w:val="0E5D4E26"/>
    <w:rsid w:val="12A75470"/>
    <w:rsid w:val="12C24488"/>
    <w:rsid w:val="17CB2D75"/>
    <w:rsid w:val="184762F8"/>
    <w:rsid w:val="1A286642"/>
    <w:rsid w:val="1C8A2350"/>
    <w:rsid w:val="1EB83620"/>
    <w:rsid w:val="1EEE0E3C"/>
    <w:rsid w:val="21026DD4"/>
    <w:rsid w:val="21B116B6"/>
    <w:rsid w:val="231B417D"/>
    <w:rsid w:val="232F19D7"/>
    <w:rsid w:val="245B28F0"/>
    <w:rsid w:val="249B49DE"/>
    <w:rsid w:val="24C148B0"/>
    <w:rsid w:val="24C86B8A"/>
    <w:rsid w:val="279A7D67"/>
    <w:rsid w:val="283D6944"/>
    <w:rsid w:val="296E660D"/>
    <w:rsid w:val="2D265BF9"/>
    <w:rsid w:val="2DA82AB1"/>
    <w:rsid w:val="2E1703A6"/>
    <w:rsid w:val="31AF2660"/>
    <w:rsid w:val="32696CB3"/>
    <w:rsid w:val="3457457F"/>
    <w:rsid w:val="347A0213"/>
    <w:rsid w:val="352275ED"/>
    <w:rsid w:val="357A4D33"/>
    <w:rsid w:val="361E01C7"/>
    <w:rsid w:val="37816D6C"/>
    <w:rsid w:val="39900FC9"/>
    <w:rsid w:val="3A8A258A"/>
    <w:rsid w:val="3B7F30A4"/>
    <w:rsid w:val="3BDA652C"/>
    <w:rsid w:val="3E894239"/>
    <w:rsid w:val="3EAB0654"/>
    <w:rsid w:val="3ECB4852"/>
    <w:rsid w:val="3F863681"/>
    <w:rsid w:val="3FB05F21"/>
    <w:rsid w:val="41773553"/>
    <w:rsid w:val="420846AC"/>
    <w:rsid w:val="43972F54"/>
    <w:rsid w:val="44323820"/>
    <w:rsid w:val="493C25D4"/>
    <w:rsid w:val="4BF2341E"/>
    <w:rsid w:val="4CE354AC"/>
    <w:rsid w:val="4F583EE0"/>
    <w:rsid w:val="50E672F3"/>
    <w:rsid w:val="54E446CA"/>
    <w:rsid w:val="54EC75A4"/>
    <w:rsid w:val="54EF499E"/>
    <w:rsid w:val="57583514"/>
    <w:rsid w:val="591E1985"/>
    <w:rsid w:val="59396B30"/>
    <w:rsid w:val="5A2E5F69"/>
    <w:rsid w:val="5A625C12"/>
    <w:rsid w:val="5AA40A8B"/>
    <w:rsid w:val="5B5F2152"/>
    <w:rsid w:val="5D144A17"/>
    <w:rsid w:val="5D49044E"/>
    <w:rsid w:val="5E2E320E"/>
    <w:rsid w:val="5F2D2C93"/>
    <w:rsid w:val="61151C31"/>
    <w:rsid w:val="6336173A"/>
    <w:rsid w:val="644840CB"/>
    <w:rsid w:val="661B3E94"/>
    <w:rsid w:val="66687852"/>
    <w:rsid w:val="6B0621D9"/>
    <w:rsid w:val="6D3E250F"/>
    <w:rsid w:val="6D8015B7"/>
    <w:rsid w:val="6F5A57F2"/>
    <w:rsid w:val="6F6A457F"/>
    <w:rsid w:val="70ED5449"/>
    <w:rsid w:val="72253C9E"/>
    <w:rsid w:val="74B759CB"/>
    <w:rsid w:val="775A6197"/>
    <w:rsid w:val="7A2D7543"/>
    <w:rsid w:val="7A82051E"/>
    <w:rsid w:val="7C85533B"/>
    <w:rsid w:val="7D446E6B"/>
    <w:rsid w:val="7DE06CCB"/>
    <w:rsid w:val="7ED127E1"/>
    <w:rsid w:val="7F6556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jc w:val="center"/>
    </w:pPr>
    <w:rPr>
      <w:rFonts w:ascii="宋体"/>
      <w:sz w:val="44"/>
      <w:szCs w:val="44"/>
    </w:rPr>
  </w:style>
  <w:style w:type="paragraph" w:styleId="3">
    <w:name w:val="Normal Indent"/>
    <w:basedOn w:val="1"/>
    <w:qFormat/>
    <w:uiPriority w:val="0"/>
    <w:pPr>
      <w:widowControl w:val="0"/>
      <w:spacing w:line="560" w:lineRule="atLeast"/>
      <w:ind w:firstLine="420"/>
      <w:jc w:val="both"/>
    </w:pPr>
    <w:rPr>
      <w:rFonts w:ascii="Times New Roman" w:hAnsi="Times New Roman" w:eastAsia="宋体" w:cs="Times New Roman"/>
      <w:kern w:val="2"/>
      <w:sz w:val="32"/>
      <w:szCs w:val="32"/>
      <w:lang w:val="en-US" w:eastAsia="zh-CN" w:bidi="ar-SA"/>
    </w:rPr>
  </w:style>
  <w:style w:type="paragraph" w:styleId="4">
    <w:name w:val="annotation text"/>
    <w:basedOn w:val="1"/>
    <w:unhideWhenUsed/>
    <w:qFormat/>
    <w:uiPriority w:val="99"/>
    <w:pPr>
      <w:jc w:val="left"/>
    </w:pPr>
  </w:style>
  <w:style w:type="paragraph" w:styleId="5">
    <w:name w:val="Body Text Indent"/>
    <w:basedOn w:val="1"/>
    <w:qFormat/>
    <w:uiPriority w:val="0"/>
    <w:pPr>
      <w:ind w:firstLine="640" w:firstLineChars="200"/>
    </w:pPr>
    <w:rPr>
      <w:rFonts w:ascii="仿宋_GB2312" w:eastAsia="仿宋_GB2312"/>
      <w:sz w:val="32"/>
    </w:rPr>
  </w:style>
  <w:style w:type="paragraph" w:styleId="6">
    <w:name w:val="footer"/>
    <w:basedOn w:val="1"/>
    <w:qFormat/>
    <w:uiPriority w:val="0"/>
    <w:pPr>
      <w:tabs>
        <w:tab w:val="center" w:pos="4153"/>
        <w:tab w:val="right" w:pos="8306"/>
      </w:tabs>
      <w:snapToGrid w:val="0"/>
      <w:jc w:val="left"/>
    </w:pPr>
    <w:rPr>
      <w:sz w:val="18"/>
    </w:rPr>
  </w:style>
  <w:style w:type="paragraph" w:styleId="7">
    <w:name w:val="envelope return"/>
    <w:basedOn w:val="1"/>
    <w:qFormat/>
    <w:uiPriority w:val="0"/>
    <w:rPr>
      <w:rFonts w:ascii="Arial" w:hAnsi="Arial"/>
    </w:rPr>
  </w:style>
  <w:style w:type="paragraph" w:styleId="8">
    <w:name w:val="Normal (Web)"/>
    <w:basedOn w:val="1"/>
    <w:unhideWhenUsed/>
    <w:qFormat/>
    <w:uiPriority w:val="99"/>
    <w:pPr>
      <w:spacing w:beforeAutospacing="1" w:afterAutospacing="1"/>
      <w:jc w:val="left"/>
    </w:pPr>
    <w:rPr>
      <w:kern w:val="0"/>
      <w:sz w:val="24"/>
      <w:szCs w:val="24"/>
    </w:rPr>
  </w:style>
  <w:style w:type="paragraph" w:styleId="9">
    <w:name w:val="Body Text First Indent"/>
    <w:next w:val="1"/>
    <w:qFormat/>
    <w:uiPriority w:val="0"/>
    <w:pPr>
      <w:widowControl w:val="0"/>
      <w:ind w:firstLine="420" w:firstLineChars="100"/>
      <w:jc w:val="center"/>
    </w:pPr>
    <w:rPr>
      <w:rFonts w:ascii="宋体" w:hAnsi="Times New Roman" w:eastAsia="宋体" w:cs="Times New Roman"/>
      <w:kern w:val="2"/>
      <w:sz w:val="44"/>
      <w:szCs w:val="24"/>
      <w:lang w:val="en-US" w:eastAsia="zh-CN" w:bidi="ar-SA"/>
    </w:rPr>
  </w:style>
  <w:style w:type="paragraph" w:styleId="10">
    <w:name w:val="Body Text First Indent 2"/>
    <w:basedOn w:val="5"/>
    <w:qFormat/>
    <w:uiPriority w:val="0"/>
    <w:pPr>
      <w:ind w:firstLine="420" w:firstLineChars="200"/>
    </w:p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paragraph" w:customStyle="1" w:styleId="15">
    <w:name w:val="p0"/>
    <w:qFormat/>
    <w:uiPriority w:val="0"/>
    <w:pPr>
      <w:jc w:val="both"/>
    </w:pPr>
    <w:rPr>
      <w:rFonts w:hint="eastAsia" w:ascii="宋体" w:hAnsi="宋体"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5313</Words>
  <Characters>5476</Characters>
  <Lines>0</Lines>
  <Paragraphs>0</Paragraphs>
  <TotalTime>7</TotalTime>
  <ScaleCrop>false</ScaleCrop>
  <LinksUpToDate>false</LinksUpToDate>
  <CharactersWithSpaces>5940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2024-04-11T07:06:00Z</dcterms:created>
  <dc:creator>admin</dc:creator>
  <cp:lastModifiedBy>郭珊燕</cp:lastModifiedBy>
  <cp:lastPrinted>2025-04-16T01:39:27Z</cp:lastPrinted>
  <dcterms:modified xsi:type="dcterms:W3CDTF">2025-04-16T01:40:17Z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24F6F27DE05D4C0B8BC6D2E0CC95BBED_12</vt:lpwstr>
  </property>
  <property fmtid="{D5CDD505-2E9C-101B-9397-08002B2CF9AE}" pid="4" name="KSOTemplateDocerSaveRecord">
    <vt:lpwstr>eyJoZGlkIjoiODhhNzBiOTk4YWQwY2IzMDEyMDJlMWI1NGY2ODZiYzUiLCJ1c2VySWQiOiIzNjc5NTA1NTgifQ==</vt:lpwstr>
  </property>
</Properties>
</file>